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127D" w14:textId="77777777" w:rsidR="00517E91" w:rsidRDefault="00517E91" w:rsidP="00517E91">
      <w:pPr>
        <w:pStyle w:val="NoSpacing"/>
        <w:rPr>
          <w:rFonts w:asciiTheme="minorHAnsi" w:hAnsiTheme="minorHAnsi" w:cstheme="minorHAnsi"/>
          <w:sz w:val="28"/>
          <w:szCs w:val="28"/>
          <w:lang w:eastAsia="en-US"/>
        </w:rPr>
      </w:pPr>
    </w:p>
    <w:p w14:paraId="798F00FC" w14:textId="1A5C3C72" w:rsidR="00517E91" w:rsidRDefault="00517E91" w:rsidP="00517E91">
      <w:pPr>
        <w:pStyle w:val="NoSpacing"/>
        <w:rPr>
          <w:rFonts w:asciiTheme="minorHAnsi" w:hAnsiTheme="minorHAnsi" w:cstheme="minorHAnsi"/>
          <w:sz w:val="28"/>
          <w:szCs w:val="28"/>
          <w:lang w:eastAsia="en-US"/>
        </w:rPr>
      </w:pPr>
      <w:r w:rsidRPr="00DE0186">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5F87932A" wp14:editId="6F25A379">
            <wp:simplePos x="0" y="0"/>
            <wp:positionH relativeFrom="margin">
              <wp:posOffset>0</wp:posOffset>
            </wp:positionH>
            <wp:positionV relativeFrom="topMargin">
              <wp:posOffset>1346835</wp:posOffset>
            </wp:positionV>
            <wp:extent cx="1661795" cy="415925"/>
            <wp:effectExtent l="0" t="0" r="0" b="3175"/>
            <wp:wrapSquare wrapText="bothSides"/>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179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69AFD" w14:textId="77777777" w:rsidR="00517E91" w:rsidRDefault="00517E91" w:rsidP="00517E91">
      <w:pPr>
        <w:pStyle w:val="NoSpacing"/>
        <w:rPr>
          <w:rFonts w:asciiTheme="minorHAnsi" w:hAnsiTheme="minorHAnsi" w:cstheme="minorHAnsi"/>
          <w:sz w:val="28"/>
          <w:szCs w:val="28"/>
          <w:lang w:eastAsia="en-US"/>
        </w:rPr>
      </w:pPr>
    </w:p>
    <w:p w14:paraId="46893FAA" w14:textId="77777777" w:rsidR="00517E91" w:rsidRDefault="00517E91" w:rsidP="00517E91">
      <w:pPr>
        <w:pStyle w:val="NoSpacing"/>
        <w:rPr>
          <w:rFonts w:asciiTheme="minorHAnsi" w:hAnsiTheme="minorHAnsi" w:cstheme="minorBidi"/>
          <w:sz w:val="28"/>
          <w:szCs w:val="28"/>
          <w:lang w:eastAsia="en-US"/>
        </w:rPr>
      </w:pPr>
    </w:p>
    <w:p w14:paraId="4D4A5B8E" w14:textId="77777777" w:rsidR="00D15CDD" w:rsidRDefault="00D15CDD" w:rsidP="00517E91">
      <w:pPr>
        <w:pStyle w:val="NoSpacing"/>
        <w:rPr>
          <w:rFonts w:asciiTheme="minorHAnsi" w:hAnsiTheme="minorHAnsi" w:cstheme="minorHAnsi"/>
          <w:sz w:val="28"/>
          <w:szCs w:val="28"/>
          <w:lang w:eastAsia="en-US"/>
        </w:rPr>
      </w:pPr>
    </w:p>
    <w:p w14:paraId="77284297" w14:textId="2FF83756" w:rsidR="00E322E4" w:rsidRPr="00C22F4A" w:rsidRDefault="00D65C53" w:rsidP="001D75F3">
      <w:pPr>
        <w:jc w:val="center"/>
        <w:rPr>
          <w:rFonts w:asciiTheme="minorHAnsi" w:hAnsiTheme="minorHAnsi" w:cstheme="minorHAnsi"/>
          <w:sz w:val="28"/>
          <w:szCs w:val="28"/>
          <w:lang w:eastAsia="en-US"/>
        </w:rPr>
      </w:pPr>
      <w:r w:rsidRPr="00D65C53">
        <w:rPr>
          <w:rFonts w:asciiTheme="minorHAnsi" w:hAnsiTheme="minorHAnsi" w:cstheme="minorHAnsi"/>
          <w:sz w:val="28"/>
          <w:szCs w:val="28"/>
          <w:lang w:eastAsia="en-US"/>
        </w:rPr>
        <w:t>Terms of Reference (</w:t>
      </w:r>
      <w:proofErr w:type="spellStart"/>
      <w:r w:rsidRPr="00D65C53">
        <w:rPr>
          <w:rFonts w:asciiTheme="minorHAnsi" w:hAnsiTheme="minorHAnsi" w:cstheme="minorHAnsi"/>
          <w:sz w:val="28"/>
          <w:szCs w:val="28"/>
          <w:lang w:eastAsia="en-US"/>
        </w:rPr>
        <w:t>ToR</w:t>
      </w:r>
      <w:proofErr w:type="spellEnd"/>
      <w:r w:rsidRPr="00D65C53">
        <w:rPr>
          <w:rFonts w:asciiTheme="minorHAnsi" w:hAnsiTheme="minorHAnsi" w:cstheme="minorHAnsi"/>
          <w:sz w:val="28"/>
          <w:szCs w:val="28"/>
          <w:lang w:eastAsia="en-US"/>
        </w:rPr>
        <w:t>)</w:t>
      </w:r>
      <w:r w:rsidRPr="00D65C53">
        <w:rPr>
          <w:rFonts w:asciiTheme="minorHAnsi" w:hAnsiTheme="minorHAnsi" w:cstheme="minorHAnsi"/>
          <w:sz w:val="28"/>
          <w:szCs w:val="28"/>
          <w:lang w:eastAsia="en-US"/>
        </w:rPr>
        <w:br/>
      </w:r>
      <w:r w:rsidR="001D75F3">
        <w:rPr>
          <w:rFonts w:asciiTheme="minorHAnsi" w:hAnsiTheme="minorHAnsi" w:cstheme="minorHAnsi"/>
          <w:sz w:val="28"/>
          <w:szCs w:val="28"/>
          <w:lang w:eastAsia="en-US"/>
        </w:rPr>
        <w:t>I</w:t>
      </w:r>
      <w:r w:rsidR="001D75F3" w:rsidRPr="001D75F3">
        <w:rPr>
          <w:rFonts w:asciiTheme="minorHAnsi" w:hAnsiTheme="minorHAnsi" w:cstheme="minorHAnsi"/>
          <w:sz w:val="28"/>
          <w:szCs w:val="28"/>
          <w:lang w:eastAsia="en-US"/>
        </w:rPr>
        <w:t xml:space="preserve">mproving NRC's </w:t>
      </w:r>
      <w:r w:rsidR="00B81000">
        <w:rPr>
          <w:rFonts w:asciiTheme="minorHAnsi" w:hAnsiTheme="minorHAnsi" w:cstheme="minorHAnsi"/>
          <w:sz w:val="28"/>
          <w:szCs w:val="28"/>
          <w:lang w:eastAsia="en-US"/>
        </w:rPr>
        <w:t>C</w:t>
      </w:r>
      <w:r w:rsidR="001D75F3">
        <w:rPr>
          <w:rFonts w:asciiTheme="minorHAnsi" w:hAnsiTheme="minorHAnsi" w:cstheme="minorHAnsi"/>
          <w:sz w:val="28"/>
          <w:szCs w:val="28"/>
          <w:lang w:eastAsia="en-US"/>
        </w:rPr>
        <w:t xml:space="preserve">ommercial </w:t>
      </w:r>
      <w:r w:rsidR="00B81000">
        <w:rPr>
          <w:rFonts w:asciiTheme="minorHAnsi" w:hAnsiTheme="minorHAnsi" w:cstheme="minorHAnsi"/>
          <w:sz w:val="28"/>
          <w:szCs w:val="28"/>
          <w:lang w:eastAsia="en-US"/>
        </w:rPr>
        <w:t>P</w:t>
      </w:r>
      <w:r w:rsidR="001D75F3" w:rsidRPr="001D75F3">
        <w:rPr>
          <w:rFonts w:asciiTheme="minorHAnsi" w:hAnsiTheme="minorHAnsi" w:cstheme="minorHAnsi"/>
          <w:sz w:val="28"/>
          <w:szCs w:val="28"/>
          <w:lang w:eastAsia="en-US"/>
        </w:rPr>
        <w:t xml:space="preserve">ricing and </w:t>
      </w:r>
      <w:r w:rsidR="00B81000">
        <w:rPr>
          <w:rFonts w:asciiTheme="minorHAnsi" w:hAnsiTheme="minorHAnsi" w:cstheme="minorHAnsi"/>
          <w:sz w:val="28"/>
          <w:szCs w:val="28"/>
          <w:lang w:eastAsia="en-US"/>
        </w:rPr>
        <w:t>B</w:t>
      </w:r>
      <w:r w:rsidR="001D75F3" w:rsidRPr="001D75F3">
        <w:rPr>
          <w:rFonts w:asciiTheme="minorHAnsi" w:hAnsiTheme="minorHAnsi" w:cstheme="minorHAnsi"/>
          <w:sz w:val="28"/>
          <w:szCs w:val="28"/>
          <w:lang w:eastAsia="en-US"/>
        </w:rPr>
        <w:t xml:space="preserve">udgeting </w:t>
      </w:r>
      <w:r w:rsidR="00B81000">
        <w:rPr>
          <w:rFonts w:asciiTheme="minorHAnsi" w:hAnsiTheme="minorHAnsi" w:cstheme="minorHAnsi"/>
          <w:sz w:val="28"/>
          <w:szCs w:val="28"/>
          <w:lang w:eastAsia="en-US"/>
        </w:rPr>
        <w:t>S</w:t>
      </w:r>
      <w:r w:rsidR="001D75F3" w:rsidRPr="001D75F3">
        <w:rPr>
          <w:rFonts w:asciiTheme="minorHAnsi" w:hAnsiTheme="minorHAnsi" w:cstheme="minorHAnsi"/>
          <w:sz w:val="28"/>
          <w:szCs w:val="28"/>
          <w:lang w:eastAsia="en-US"/>
        </w:rPr>
        <w:t xml:space="preserve">trategies </w:t>
      </w:r>
    </w:p>
    <w:p w14:paraId="7952FD61" w14:textId="45A9BA73" w:rsidR="00517E91" w:rsidRPr="00601473" w:rsidRDefault="00B81000" w:rsidP="00D15CDD">
      <w:pPr>
        <w:jc w:val="center"/>
        <w:rPr>
          <w:rFonts w:asciiTheme="minorHAnsi" w:hAnsiTheme="minorHAnsi" w:cstheme="minorHAnsi"/>
          <w:sz w:val="28"/>
          <w:szCs w:val="28"/>
          <w:lang w:eastAsia="en-US"/>
        </w:rPr>
      </w:pPr>
      <w:r>
        <w:rPr>
          <w:rFonts w:asciiTheme="minorHAnsi" w:hAnsiTheme="minorHAnsi" w:cstheme="minorHAnsi"/>
          <w:sz w:val="28"/>
          <w:szCs w:val="28"/>
          <w:lang w:eastAsia="en-US"/>
        </w:rPr>
        <w:t xml:space="preserve"> December </w:t>
      </w:r>
      <w:r w:rsidR="00D15CDD">
        <w:rPr>
          <w:rFonts w:asciiTheme="minorHAnsi" w:hAnsiTheme="minorHAnsi" w:cstheme="minorHAnsi"/>
          <w:sz w:val="28"/>
          <w:szCs w:val="28"/>
          <w:lang w:eastAsia="en-US"/>
        </w:rPr>
        <w:t>2024</w:t>
      </w:r>
    </w:p>
    <w:p w14:paraId="7FCF5D6B" w14:textId="77777777" w:rsidR="00517E91" w:rsidRDefault="00517E91" w:rsidP="00517E91">
      <w:pPr>
        <w:keepNext/>
        <w:keepLines/>
        <w:pBdr>
          <w:top w:val="single" w:sz="4" w:space="6" w:color="FF7602"/>
        </w:pBdr>
        <w:spacing w:before="240" w:line="259" w:lineRule="auto"/>
        <w:jc w:val="both"/>
        <w:outlineLvl w:val="0"/>
        <w:rPr>
          <w:rFonts w:asciiTheme="minorHAnsi" w:eastAsia="MS Gothic" w:hAnsiTheme="minorHAnsi" w:cstheme="minorHAnsi"/>
          <w:color w:val="FF7602"/>
          <w:sz w:val="28"/>
          <w:lang w:val="en-US" w:eastAsia="en-US"/>
        </w:rPr>
      </w:pPr>
      <w:r w:rsidRPr="00DE0186">
        <w:rPr>
          <w:rFonts w:asciiTheme="minorHAnsi" w:eastAsia="MS Gothic" w:hAnsiTheme="minorHAnsi" w:cstheme="minorHAnsi"/>
          <w:color w:val="FF7602"/>
          <w:sz w:val="28"/>
          <w:lang w:val="en-US" w:eastAsia="en-US"/>
        </w:rPr>
        <w:t>Background information</w:t>
      </w:r>
    </w:p>
    <w:p w14:paraId="14F62A26" w14:textId="77777777" w:rsidR="00576E52" w:rsidRDefault="00576E52" w:rsidP="00576E52">
      <w:pPr>
        <w:pStyle w:val="NoSpacing"/>
        <w:rPr>
          <w:rFonts w:asciiTheme="minorHAnsi" w:hAnsiTheme="minorHAnsi" w:cstheme="minorBidi"/>
          <w:b/>
          <w:bCs/>
          <w:sz w:val="22"/>
          <w:szCs w:val="22"/>
          <w:lang w:val="en-US"/>
        </w:rPr>
      </w:pPr>
    </w:p>
    <w:p w14:paraId="39115730" w14:textId="0471988E" w:rsidR="00576E52" w:rsidRPr="00576E52" w:rsidRDefault="00576E52" w:rsidP="00576E52">
      <w:pPr>
        <w:pStyle w:val="NoSpacing"/>
        <w:jc w:val="both"/>
        <w:rPr>
          <w:rFonts w:asciiTheme="minorHAnsi" w:hAnsiTheme="minorHAnsi"/>
          <w:i/>
          <w:iCs/>
          <w:color w:val="E97132" w:themeColor="accent2"/>
          <w:sz w:val="22"/>
          <w:szCs w:val="22"/>
          <w:lang w:eastAsia="en-US"/>
          <w14:ligatures w14:val="none"/>
        </w:rPr>
      </w:pPr>
      <w:r w:rsidRPr="00576E52">
        <w:rPr>
          <w:rFonts w:asciiTheme="minorHAnsi" w:hAnsiTheme="minorHAnsi"/>
          <w:i/>
          <w:iCs/>
          <w:color w:val="E97132" w:themeColor="accent2"/>
          <w:sz w:val="22"/>
          <w:szCs w:val="22"/>
          <w:lang w:eastAsia="en-US"/>
          <w14:ligatures w14:val="none"/>
        </w:rPr>
        <w:t xml:space="preserve">About NRC </w:t>
      </w:r>
    </w:p>
    <w:p w14:paraId="694A9065" w14:textId="77777777" w:rsidR="00576E52" w:rsidRPr="00576E52" w:rsidRDefault="00576E52" w:rsidP="00576E52">
      <w:pPr>
        <w:pStyle w:val="NoSpacing"/>
        <w:jc w:val="both"/>
        <w:rPr>
          <w:rFonts w:asciiTheme="minorHAnsi" w:hAnsiTheme="minorHAnsi" w:cstheme="minorBidi"/>
          <w:b/>
          <w:bCs/>
          <w:sz w:val="22"/>
          <w:szCs w:val="22"/>
        </w:rPr>
      </w:pPr>
      <w:r w:rsidRPr="00576E52">
        <w:rPr>
          <w:rFonts w:asciiTheme="minorHAnsi" w:hAnsiTheme="minorHAnsi" w:cstheme="minorBidi"/>
          <w:sz w:val="22"/>
          <w:szCs w:val="22"/>
        </w:rPr>
        <w:t xml:space="preserve">The Norwegian Refugee Council (NRC) is an independent humanitarian organisation working to protect the rights of displaced and vulnerable people during crises. NRC </w:t>
      </w:r>
      <w:proofErr w:type="gramStart"/>
      <w:r w:rsidRPr="00576E52">
        <w:rPr>
          <w:rFonts w:asciiTheme="minorHAnsi" w:hAnsiTheme="minorHAnsi" w:cstheme="minorBidi"/>
          <w:sz w:val="22"/>
          <w:szCs w:val="22"/>
        </w:rPr>
        <w:t>provides assistance to</w:t>
      </w:r>
      <w:proofErr w:type="gramEnd"/>
      <w:r w:rsidRPr="00576E52">
        <w:rPr>
          <w:rFonts w:asciiTheme="minorHAnsi" w:hAnsiTheme="minorHAnsi" w:cstheme="minorBidi"/>
          <w:sz w:val="22"/>
          <w:szCs w:val="22"/>
        </w:rPr>
        <w:t xml:space="preserve"> meet immediate humanitarian needs, prevent further displacement and contribute to durable solutions. NRC is widely recognised as a leading field-based displacement agency within the international humanitarian community. NRC works in both new and protracted crises across </w:t>
      </w:r>
      <w:hyperlink r:id="rId11" w:history="1">
        <w:r w:rsidRPr="00576E52">
          <w:rPr>
            <w:rStyle w:val="Hyperlink"/>
            <w:rFonts w:asciiTheme="minorHAnsi" w:hAnsiTheme="minorHAnsi" w:cstheme="minorBidi"/>
            <w:sz w:val="22"/>
            <w:szCs w:val="22"/>
          </w:rPr>
          <w:t>more than 30 countries</w:t>
        </w:r>
      </w:hyperlink>
      <w:r w:rsidRPr="00576E52">
        <w:rPr>
          <w:rFonts w:asciiTheme="minorHAnsi" w:hAnsiTheme="minorHAnsi" w:cstheme="minorBidi"/>
          <w:sz w:val="22"/>
          <w:szCs w:val="22"/>
        </w:rPr>
        <w:t xml:space="preserve">, where we provide protection (including camp management), food assistance, clean water, shelter, legal aid, and education. NRC is a rights-based organisation and is committed to the humanitarian principles of humanity, neutrality, independence, and impartiality. With headquarters in Oslo, Norway, NRC also has representation offices in Brussels, Geneva, Berlin, London and Washington DC. </w:t>
      </w:r>
    </w:p>
    <w:p w14:paraId="42CA579C" w14:textId="77777777" w:rsidR="00576E52" w:rsidRPr="00255587" w:rsidRDefault="00576E52" w:rsidP="00576E52">
      <w:pPr>
        <w:pStyle w:val="NoSpacing"/>
        <w:jc w:val="both"/>
        <w:rPr>
          <w:rFonts w:asciiTheme="minorHAnsi" w:hAnsiTheme="minorHAnsi" w:cstheme="minorBidi"/>
          <w:sz w:val="22"/>
          <w:szCs w:val="22"/>
        </w:rPr>
      </w:pPr>
    </w:p>
    <w:p w14:paraId="350A3B73" w14:textId="345A84DE" w:rsidR="00576E52" w:rsidRPr="00255587" w:rsidRDefault="00576E52" w:rsidP="7B01EA65">
      <w:pPr>
        <w:pStyle w:val="NoSpacing"/>
        <w:jc w:val="both"/>
        <w:rPr>
          <w:rFonts w:asciiTheme="minorHAnsi" w:hAnsiTheme="minorHAnsi"/>
          <w:i/>
          <w:iCs/>
          <w:color w:val="E97132" w:themeColor="accent2"/>
          <w:sz w:val="22"/>
          <w:szCs w:val="22"/>
          <w:lang w:eastAsia="en-US"/>
          <w14:ligatures w14:val="none"/>
        </w:rPr>
      </w:pPr>
      <w:r w:rsidRPr="7B01EA65">
        <w:rPr>
          <w:rFonts w:asciiTheme="minorHAnsi" w:hAnsiTheme="minorHAnsi"/>
          <w:i/>
          <w:iCs/>
          <w:color w:val="E97132" w:themeColor="accent2"/>
          <w:sz w:val="22"/>
          <w:szCs w:val="22"/>
          <w:lang w:eastAsia="en-US"/>
          <w14:ligatures w14:val="none"/>
        </w:rPr>
        <w:t xml:space="preserve">About NORCAP </w:t>
      </w:r>
    </w:p>
    <w:p w14:paraId="6C92693A" w14:textId="42BBADE0" w:rsidR="00576E52" w:rsidRPr="00576E52" w:rsidRDefault="00576E52" w:rsidP="00576E52">
      <w:pPr>
        <w:pStyle w:val="NoSpacing"/>
        <w:jc w:val="both"/>
        <w:rPr>
          <w:rFonts w:asciiTheme="minorHAnsi" w:hAnsiTheme="minorHAnsi" w:cstheme="minorBidi"/>
          <w:b/>
          <w:bCs/>
          <w:sz w:val="22"/>
          <w:szCs w:val="22"/>
        </w:rPr>
      </w:pPr>
      <w:r w:rsidRPr="00576E52">
        <w:rPr>
          <w:rFonts w:asciiTheme="minorHAnsi" w:hAnsiTheme="minorHAnsi" w:cstheme="minorBidi"/>
          <w:sz w:val="22"/>
          <w:szCs w:val="22"/>
        </w:rPr>
        <w:t>NORCAP is NRC’s global provider of expertise to the humanitarian, development and peacebuilding sectors. It builds partnerships with international organisations and national actors to protect lives, rights and livelihoods. NORCAP provides expert personnel and collaborates with partners to identify needs and establish common goals and projects. It helps strengthen partner capacity and improve coordination and collaboration.</w:t>
      </w:r>
    </w:p>
    <w:p w14:paraId="166038D9" w14:textId="77777777" w:rsidR="00576E52" w:rsidRPr="00255587" w:rsidRDefault="00576E52" w:rsidP="00576E52">
      <w:pPr>
        <w:pStyle w:val="NoSpacing"/>
        <w:jc w:val="both"/>
        <w:rPr>
          <w:rFonts w:asciiTheme="minorHAnsi" w:hAnsiTheme="minorHAnsi" w:cstheme="minorBidi"/>
          <w:b/>
          <w:bCs/>
          <w:sz w:val="22"/>
          <w:szCs w:val="22"/>
          <w:lang w:val="en-US"/>
        </w:rPr>
      </w:pPr>
    </w:p>
    <w:p w14:paraId="47DBBD8C" w14:textId="678FE565" w:rsidR="00576E52" w:rsidRPr="00576E52" w:rsidRDefault="00576E52" w:rsidP="00576E52">
      <w:pPr>
        <w:pStyle w:val="NoSpacing"/>
        <w:jc w:val="both"/>
        <w:rPr>
          <w:rFonts w:asciiTheme="minorHAnsi" w:hAnsiTheme="minorHAnsi"/>
          <w:i/>
          <w:iCs/>
          <w:color w:val="E97132" w:themeColor="accent2"/>
          <w:sz w:val="22"/>
          <w:szCs w:val="22"/>
          <w:lang w:eastAsia="en-US"/>
          <w14:ligatures w14:val="none"/>
        </w:rPr>
      </w:pPr>
      <w:r w:rsidRPr="00576E52">
        <w:rPr>
          <w:rFonts w:asciiTheme="minorHAnsi" w:hAnsiTheme="minorHAnsi"/>
          <w:i/>
          <w:iCs/>
          <w:color w:val="E97132" w:themeColor="accent2"/>
          <w:sz w:val="22"/>
          <w:szCs w:val="22"/>
          <w:lang w:eastAsia="en-US"/>
          <w14:ligatures w14:val="none"/>
        </w:rPr>
        <w:t xml:space="preserve">NRC Commercial Contracts Work </w:t>
      </w:r>
    </w:p>
    <w:p w14:paraId="540377DA" w14:textId="5A2B21A8" w:rsidR="00576E52" w:rsidRPr="00576E52" w:rsidRDefault="00576E52" w:rsidP="000A4BAB">
      <w:pPr>
        <w:pStyle w:val="NoSpacing"/>
        <w:jc w:val="both"/>
        <w:rPr>
          <w:rFonts w:asciiTheme="minorHAnsi" w:hAnsiTheme="minorHAnsi" w:cstheme="minorBidi"/>
          <w:sz w:val="22"/>
          <w:szCs w:val="22"/>
        </w:rPr>
      </w:pPr>
      <w:r w:rsidRPr="00576E52">
        <w:rPr>
          <w:rFonts w:asciiTheme="minorHAnsi" w:hAnsiTheme="minorHAnsi" w:cstheme="minorBidi"/>
          <w:sz w:val="22"/>
          <w:szCs w:val="22"/>
        </w:rPr>
        <w:t xml:space="preserve">In response to the evolving funding landscape, commercial contracts have become a key avenue for NRC to secure predictability and long-term financial stability. This has enabled country teams to plan and implement substantial, multi-year programs. Since 2016, NRC and NORCAP have onboarded and successfully implemented </w:t>
      </w:r>
      <w:proofErr w:type="gramStart"/>
      <w:r w:rsidR="00497FA8">
        <w:rPr>
          <w:rFonts w:asciiTheme="minorHAnsi" w:hAnsiTheme="minorHAnsi" w:cstheme="minorBidi"/>
          <w:sz w:val="22"/>
          <w:szCs w:val="22"/>
        </w:rPr>
        <w:t xml:space="preserve">26 </w:t>
      </w:r>
      <w:r w:rsidRPr="00576E52">
        <w:rPr>
          <w:rFonts w:asciiTheme="minorHAnsi" w:hAnsiTheme="minorHAnsi" w:cstheme="minorBidi"/>
          <w:sz w:val="22"/>
          <w:szCs w:val="22"/>
        </w:rPr>
        <w:t xml:space="preserve"> commercial</w:t>
      </w:r>
      <w:proofErr w:type="gramEnd"/>
      <w:r w:rsidRPr="00576E52">
        <w:rPr>
          <w:rFonts w:asciiTheme="minorHAnsi" w:hAnsiTheme="minorHAnsi" w:cstheme="minorBidi"/>
          <w:sz w:val="22"/>
          <w:szCs w:val="22"/>
        </w:rPr>
        <w:t xml:space="preserve"> contracts.</w:t>
      </w:r>
      <w:r w:rsidR="000A4BAB" w:rsidRPr="000A4BAB">
        <w:rPr>
          <w:rFonts w:asciiTheme="minorHAnsi" w:hAnsiTheme="minorHAnsi" w:cstheme="minorBidi"/>
          <w:sz w:val="22"/>
          <w:szCs w:val="22"/>
        </w:rPr>
        <w:t xml:space="preserve"> All contracts to date have aligned with NRC’s response and partnership strategies, offering new financing opportunities.</w:t>
      </w:r>
    </w:p>
    <w:p w14:paraId="5AF22D76" w14:textId="77777777" w:rsidR="00371C0F" w:rsidRDefault="00371C0F" w:rsidP="00576E52">
      <w:pPr>
        <w:pStyle w:val="NoSpacing"/>
        <w:jc w:val="both"/>
        <w:rPr>
          <w:rFonts w:asciiTheme="minorHAnsi" w:hAnsiTheme="minorHAnsi" w:cstheme="minorBidi"/>
          <w:sz w:val="22"/>
          <w:szCs w:val="22"/>
        </w:rPr>
      </w:pPr>
    </w:p>
    <w:p w14:paraId="2419D7CA" w14:textId="2C105DB7" w:rsidR="00576E52" w:rsidRPr="00576E52" w:rsidRDefault="00371C0F" w:rsidP="00C80928">
      <w:pPr>
        <w:pStyle w:val="NoSpacing"/>
        <w:jc w:val="both"/>
        <w:rPr>
          <w:rFonts w:asciiTheme="minorHAnsi" w:hAnsiTheme="minorHAnsi" w:cstheme="minorBidi"/>
          <w:sz w:val="22"/>
          <w:szCs w:val="22"/>
        </w:rPr>
      </w:pPr>
      <w:r>
        <w:rPr>
          <w:rFonts w:asciiTheme="minorHAnsi" w:hAnsiTheme="minorHAnsi" w:cstheme="minorBidi"/>
          <w:sz w:val="22"/>
          <w:szCs w:val="22"/>
        </w:rPr>
        <w:t>B</w:t>
      </w:r>
      <w:r w:rsidR="00576E52" w:rsidRPr="00576E52">
        <w:rPr>
          <w:rFonts w:asciiTheme="minorHAnsi" w:hAnsiTheme="minorHAnsi" w:cstheme="minorBidi"/>
          <w:sz w:val="22"/>
          <w:szCs w:val="22"/>
        </w:rPr>
        <w:t xml:space="preserve">uilding on its strong reputation, demonstrated programming capabilities, and long-standing partnerships with key donors, NRC </w:t>
      </w:r>
      <w:r w:rsidR="000A4BAB">
        <w:rPr>
          <w:rFonts w:asciiTheme="minorHAnsi" w:hAnsiTheme="minorHAnsi" w:cstheme="minorBidi"/>
          <w:sz w:val="22"/>
          <w:szCs w:val="22"/>
        </w:rPr>
        <w:t xml:space="preserve">is looking to </w:t>
      </w:r>
      <w:r w:rsidR="00576E52" w:rsidRPr="00576E52">
        <w:rPr>
          <w:rFonts w:asciiTheme="minorHAnsi" w:hAnsiTheme="minorHAnsi" w:cstheme="minorBidi"/>
          <w:sz w:val="22"/>
          <w:szCs w:val="22"/>
        </w:rPr>
        <w:t>expan</w:t>
      </w:r>
      <w:r w:rsidR="000A4BAB">
        <w:rPr>
          <w:rFonts w:asciiTheme="minorHAnsi" w:hAnsiTheme="minorHAnsi" w:cstheme="minorBidi"/>
          <w:sz w:val="22"/>
          <w:szCs w:val="22"/>
        </w:rPr>
        <w:t xml:space="preserve">d its </w:t>
      </w:r>
      <w:r w:rsidR="00576E52" w:rsidRPr="00576E52">
        <w:rPr>
          <w:rFonts w:asciiTheme="minorHAnsi" w:hAnsiTheme="minorHAnsi" w:cstheme="minorBidi"/>
          <w:sz w:val="22"/>
          <w:szCs w:val="22"/>
        </w:rPr>
        <w:t xml:space="preserve">commercial engagements </w:t>
      </w:r>
      <w:r w:rsidR="00C80928">
        <w:rPr>
          <w:rFonts w:asciiTheme="minorHAnsi" w:hAnsiTheme="minorHAnsi" w:cstheme="minorBidi"/>
          <w:sz w:val="22"/>
          <w:szCs w:val="22"/>
        </w:rPr>
        <w:t xml:space="preserve">and investing in contract readiness including developing financial and operational capacities. </w:t>
      </w:r>
    </w:p>
    <w:p w14:paraId="7E591B24" w14:textId="77777777" w:rsidR="00517E91" w:rsidRDefault="00517E91" w:rsidP="00517E91">
      <w:pPr>
        <w:keepNext/>
        <w:keepLines/>
        <w:pBdr>
          <w:top w:val="single" w:sz="4" w:space="6" w:color="FF7602"/>
        </w:pBdr>
        <w:spacing w:before="240" w:line="259" w:lineRule="auto"/>
        <w:jc w:val="both"/>
        <w:outlineLvl w:val="0"/>
        <w:rPr>
          <w:rFonts w:asciiTheme="minorHAnsi" w:eastAsia="MS Gothic" w:hAnsiTheme="minorHAnsi" w:cstheme="minorHAnsi"/>
          <w:color w:val="FF7602"/>
          <w:sz w:val="28"/>
          <w:lang w:eastAsia="en-US"/>
        </w:rPr>
      </w:pPr>
      <w:r w:rsidRPr="77E2EAB7">
        <w:rPr>
          <w:rFonts w:asciiTheme="minorHAnsi" w:eastAsia="MS Gothic" w:hAnsiTheme="minorHAnsi" w:cstheme="minorBidi"/>
          <w:color w:val="FF7602"/>
          <w:sz w:val="28"/>
          <w:szCs w:val="28"/>
          <w:lang w:eastAsia="en-US"/>
        </w:rPr>
        <w:t>Purpose of the study</w:t>
      </w:r>
    </w:p>
    <w:p w14:paraId="79AFB5D6" w14:textId="714263F3" w:rsidR="0011738A" w:rsidRPr="0011738A" w:rsidRDefault="0011738A" w:rsidP="7B01EA65">
      <w:pPr>
        <w:spacing w:after="160" w:line="259" w:lineRule="auto"/>
        <w:jc w:val="both"/>
        <w:rPr>
          <w:rFonts w:asciiTheme="minorHAnsi" w:eastAsia="Calibri" w:hAnsiTheme="minorHAnsi" w:cs="Arial"/>
          <w:kern w:val="2"/>
          <w:sz w:val="22"/>
          <w:szCs w:val="22"/>
          <w:lang w:eastAsia="en-US" w:bidi="he-IL"/>
        </w:rPr>
      </w:pPr>
      <w:r w:rsidRPr="7B01EA65">
        <w:rPr>
          <w:rFonts w:asciiTheme="minorHAnsi" w:eastAsia="Calibri" w:hAnsiTheme="minorHAnsi" w:cs="Arial"/>
          <w:kern w:val="2"/>
          <w:sz w:val="22"/>
          <w:szCs w:val="22"/>
          <w:lang w:eastAsia="en-US" w:bidi="he-IL"/>
        </w:rPr>
        <w:t>To ensure that NRC is well-prepared to develop effective proposals for key commercial funding opportunities, we are seeking a qualified consultant or consultancy firm to lead the enhancement of our commercial budgeting and pricing strategies. This consultancy will play a critical role in ensuring that NRC’s future proposals are competitive, compliant, and financially sound, in alignment with our internal finance policies.</w:t>
      </w:r>
    </w:p>
    <w:p w14:paraId="64DFDAF6" w14:textId="64DAB933" w:rsidR="0011738A" w:rsidRPr="0011738A" w:rsidRDefault="0011738A" w:rsidP="00856ACD">
      <w:pPr>
        <w:spacing w:after="160" w:line="259" w:lineRule="auto"/>
        <w:jc w:val="both"/>
        <w:rPr>
          <w:rFonts w:asciiTheme="minorHAnsi" w:eastAsia="Calibri" w:hAnsiTheme="minorHAnsi" w:cs="Arial"/>
          <w:kern w:val="2"/>
          <w:sz w:val="22"/>
          <w:szCs w:val="22"/>
          <w:lang w:eastAsia="en-US" w:bidi="he-IL"/>
        </w:rPr>
      </w:pPr>
      <w:r w:rsidRPr="0011738A">
        <w:rPr>
          <w:rFonts w:asciiTheme="minorHAnsi" w:eastAsia="Calibri" w:hAnsiTheme="minorHAnsi" w:cs="Arial"/>
          <w:kern w:val="2"/>
          <w:sz w:val="22"/>
          <w:szCs w:val="22"/>
          <w:lang w:eastAsia="en-US" w:bidi="he-IL"/>
        </w:rPr>
        <w:lastRenderedPageBreak/>
        <w:t xml:space="preserve">The consultant will </w:t>
      </w:r>
      <w:r w:rsidR="00856ACD" w:rsidRPr="0011738A">
        <w:rPr>
          <w:rFonts w:asciiTheme="minorHAnsi" w:eastAsia="Calibri" w:hAnsiTheme="minorHAnsi" w:cs="Arial"/>
          <w:kern w:val="2"/>
          <w:sz w:val="22"/>
          <w:szCs w:val="22"/>
          <w:lang w:eastAsia="en-US" w:bidi="he-IL"/>
        </w:rPr>
        <w:t>developing tools, templates, and Standard Operating Procedures (SOPs) to streamline and improve NRC’s pricing approach</w:t>
      </w:r>
      <w:r w:rsidR="00856ACD">
        <w:rPr>
          <w:rFonts w:asciiTheme="minorHAnsi" w:eastAsia="Calibri" w:hAnsiTheme="minorHAnsi" w:cs="Arial"/>
          <w:kern w:val="2"/>
          <w:sz w:val="22"/>
          <w:szCs w:val="22"/>
          <w:lang w:eastAsia="en-US" w:bidi="he-IL"/>
        </w:rPr>
        <w:t xml:space="preserve"> covering </w:t>
      </w:r>
      <w:r w:rsidRPr="0011738A">
        <w:rPr>
          <w:rFonts w:asciiTheme="minorHAnsi" w:eastAsia="Calibri" w:hAnsiTheme="minorHAnsi" w:cs="Arial"/>
          <w:kern w:val="2"/>
          <w:sz w:val="22"/>
          <w:szCs w:val="22"/>
          <w:lang w:eastAsia="en-US" w:bidi="he-IL"/>
        </w:rPr>
        <w:t>various pricing models, including Fee per Day, Payment by Results (</w:t>
      </w:r>
      <w:proofErr w:type="spellStart"/>
      <w:r w:rsidRPr="0011738A">
        <w:rPr>
          <w:rFonts w:asciiTheme="minorHAnsi" w:eastAsia="Calibri" w:hAnsiTheme="minorHAnsi" w:cs="Arial"/>
          <w:kern w:val="2"/>
          <w:sz w:val="22"/>
          <w:szCs w:val="22"/>
          <w:lang w:eastAsia="en-US" w:bidi="he-IL"/>
        </w:rPr>
        <w:t>PbR</w:t>
      </w:r>
      <w:proofErr w:type="spellEnd"/>
      <w:r w:rsidRPr="0011738A">
        <w:rPr>
          <w:rFonts w:asciiTheme="minorHAnsi" w:eastAsia="Calibri" w:hAnsiTheme="minorHAnsi" w:cs="Arial"/>
          <w:kern w:val="2"/>
          <w:sz w:val="22"/>
          <w:szCs w:val="22"/>
          <w:lang w:eastAsia="en-US" w:bidi="he-IL"/>
        </w:rPr>
        <w:t>), and Lump Sum</w:t>
      </w:r>
      <w:r w:rsidR="00CE15F0">
        <w:rPr>
          <w:rFonts w:asciiTheme="minorHAnsi" w:eastAsia="Calibri" w:hAnsiTheme="minorHAnsi" w:cs="Arial"/>
          <w:kern w:val="2"/>
          <w:sz w:val="22"/>
          <w:szCs w:val="22"/>
          <w:lang w:eastAsia="en-US" w:bidi="he-IL"/>
        </w:rPr>
        <w:t xml:space="preserve">. </w:t>
      </w:r>
      <w:r w:rsidRPr="0011738A">
        <w:rPr>
          <w:rFonts w:asciiTheme="minorHAnsi" w:eastAsia="Calibri" w:hAnsiTheme="minorHAnsi" w:cs="Arial"/>
          <w:kern w:val="2"/>
          <w:sz w:val="22"/>
          <w:szCs w:val="22"/>
          <w:lang w:eastAsia="en-US" w:bidi="he-IL"/>
        </w:rPr>
        <w:t>Additionally, the consultant will help strengthen NRC’s capacity to propose tailored pricing strategies that meet the specific requirements of FCD</w:t>
      </w:r>
      <w:r w:rsidR="00CE15F0">
        <w:rPr>
          <w:rFonts w:asciiTheme="minorHAnsi" w:eastAsia="Calibri" w:hAnsiTheme="minorHAnsi" w:cs="Arial"/>
          <w:kern w:val="2"/>
          <w:sz w:val="22"/>
          <w:szCs w:val="22"/>
          <w:lang w:eastAsia="en-US" w:bidi="he-IL"/>
        </w:rPr>
        <w:t xml:space="preserve">O and </w:t>
      </w:r>
      <w:r w:rsidRPr="0011738A">
        <w:rPr>
          <w:rFonts w:asciiTheme="minorHAnsi" w:eastAsia="Calibri" w:hAnsiTheme="minorHAnsi" w:cs="Arial"/>
          <w:kern w:val="2"/>
          <w:sz w:val="22"/>
          <w:szCs w:val="22"/>
          <w:lang w:eastAsia="en-US" w:bidi="he-IL"/>
        </w:rPr>
        <w:t>the World Bank</w:t>
      </w:r>
      <w:r w:rsidR="00CE15F0">
        <w:rPr>
          <w:rFonts w:asciiTheme="minorHAnsi" w:eastAsia="Calibri" w:hAnsiTheme="minorHAnsi" w:cs="Arial"/>
          <w:kern w:val="2"/>
          <w:sz w:val="22"/>
          <w:szCs w:val="22"/>
          <w:lang w:eastAsia="en-US" w:bidi="he-IL"/>
        </w:rPr>
        <w:t xml:space="preserve"> </w:t>
      </w:r>
      <w:r w:rsidRPr="0011738A">
        <w:rPr>
          <w:rFonts w:asciiTheme="minorHAnsi" w:eastAsia="Calibri" w:hAnsiTheme="minorHAnsi" w:cs="Arial"/>
          <w:kern w:val="2"/>
          <w:sz w:val="22"/>
          <w:szCs w:val="22"/>
          <w:lang w:eastAsia="en-US" w:bidi="he-IL"/>
        </w:rPr>
        <w:t>ensuring compliance with donor regulations.</w:t>
      </w:r>
    </w:p>
    <w:p w14:paraId="3B304992" w14:textId="0F906C50" w:rsidR="00DA129E" w:rsidRPr="00DA129E" w:rsidRDefault="00DA129E" w:rsidP="00DA129E">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sidRPr="00DA129E">
        <w:rPr>
          <w:rFonts w:asciiTheme="minorHAnsi" w:eastAsia="MS Gothic" w:hAnsiTheme="minorHAnsi" w:cstheme="minorBidi"/>
          <w:color w:val="FF7602"/>
          <w:sz w:val="28"/>
          <w:szCs w:val="28"/>
          <w:lang w:eastAsia="en-US"/>
        </w:rPr>
        <w:t>Objectives</w:t>
      </w:r>
    </w:p>
    <w:p w14:paraId="14C1A9B7" w14:textId="77777777" w:rsidR="0066557B" w:rsidRDefault="0066557B" w:rsidP="0066557B">
      <w:pPr>
        <w:spacing w:after="160" w:line="259" w:lineRule="auto"/>
        <w:jc w:val="both"/>
        <w:rPr>
          <w:rFonts w:asciiTheme="minorHAnsi" w:eastAsia="Calibri" w:hAnsiTheme="minorHAnsi" w:cs="Arial"/>
          <w:kern w:val="2"/>
          <w:sz w:val="22"/>
          <w:szCs w:val="22"/>
          <w:lang w:eastAsia="en-US" w:bidi="he-IL"/>
        </w:rPr>
      </w:pPr>
    </w:p>
    <w:p w14:paraId="7E2EDEF3" w14:textId="032516A5" w:rsidR="00E70D4E" w:rsidRDefault="00E70D4E" w:rsidP="000D4311">
      <w:pPr>
        <w:spacing w:after="160" w:line="259" w:lineRule="auto"/>
        <w:jc w:val="both"/>
        <w:rPr>
          <w:rFonts w:asciiTheme="minorHAnsi" w:eastAsia="Calibri" w:hAnsiTheme="minorHAnsi" w:cs="Arial"/>
          <w:kern w:val="2"/>
          <w:sz w:val="22"/>
          <w:szCs w:val="22"/>
          <w:lang w:eastAsia="en-US" w:bidi="he-IL"/>
        </w:rPr>
      </w:pPr>
      <w:r w:rsidRPr="00E70D4E">
        <w:rPr>
          <w:rFonts w:asciiTheme="minorHAnsi" w:eastAsia="Calibri" w:hAnsiTheme="minorHAnsi" w:cs="Arial"/>
          <w:kern w:val="2"/>
          <w:sz w:val="22"/>
          <w:szCs w:val="22"/>
          <w:lang w:eastAsia="en-US" w:bidi="he-IL"/>
        </w:rPr>
        <w:t xml:space="preserve">The primary objective of this consultancy is to enhance NRC’s ability to develop competitive, compliant, and financially sound proposals for commercial contracts. The </w:t>
      </w:r>
      <w:r w:rsidR="000D4311">
        <w:rPr>
          <w:rFonts w:asciiTheme="minorHAnsi" w:eastAsia="Calibri" w:hAnsiTheme="minorHAnsi" w:cs="Arial"/>
          <w:kern w:val="2"/>
          <w:sz w:val="22"/>
          <w:szCs w:val="22"/>
          <w:lang w:eastAsia="en-US" w:bidi="he-IL"/>
        </w:rPr>
        <w:t xml:space="preserve">consultancy </w:t>
      </w:r>
      <w:r w:rsidRPr="00E70D4E">
        <w:rPr>
          <w:rFonts w:asciiTheme="minorHAnsi" w:eastAsia="Calibri" w:hAnsiTheme="minorHAnsi" w:cs="Arial"/>
          <w:kern w:val="2"/>
          <w:sz w:val="22"/>
          <w:szCs w:val="22"/>
          <w:lang w:eastAsia="en-US" w:bidi="he-IL"/>
        </w:rPr>
        <w:t>focuses on improving NRC's pricing and budgeting strategies, creating standardized tools</w:t>
      </w:r>
      <w:r w:rsidR="000D4311">
        <w:rPr>
          <w:rFonts w:asciiTheme="minorHAnsi" w:eastAsia="Calibri" w:hAnsiTheme="minorHAnsi" w:cs="Arial"/>
          <w:kern w:val="2"/>
          <w:sz w:val="22"/>
          <w:szCs w:val="22"/>
          <w:lang w:eastAsia="en-US" w:bidi="he-IL"/>
        </w:rPr>
        <w:t xml:space="preserve">, </w:t>
      </w:r>
      <w:r w:rsidRPr="00E70D4E">
        <w:rPr>
          <w:rFonts w:asciiTheme="minorHAnsi" w:eastAsia="Calibri" w:hAnsiTheme="minorHAnsi" w:cs="Arial"/>
          <w:kern w:val="2"/>
          <w:sz w:val="22"/>
          <w:szCs w:val="22"/>
          <w:lang w:eastAsia="en-US" w:bidi="he-IL"/>
        </w:rPr>
        <w:t xml:space="preserve">templates </w:t>
      </w:r>
      <w:r w:rsidR="000D4311">
        <w:rPr>
          <w:rFonts w:asciiTheme="minorHAnsi" w:eastAsia="Calibri" w:hAnsiTheme="minorHAnsi" w:cs="Arial"/>
          <w:kern w:val="2"/>
          <w:sz w:val="22"/>
          <w:szCs w:val="22"/>
          <w:lang w:eastAsia="en-US" w:bidi="he-IL"/>
        </w:rPr>
        <w:t xml:space="preserve">and SOPs </w:t>
      </w:r>
      <w:r w:rsidRPr="00E70D4E">
        <w:rPr>
          <w:rFonts w:asciiTheme="minorHAnsi" w:eastAsia="Calibri" w:hAnsiTheme="minorHAnsi" w:cs="Arial"/>
          <w:kern w:val="2"/>
          <w:sz w:val="22"/>
          <w:szCs w:val="22"/>
          <w:lang w:eastAsia="en-US" w:bidi="he-IL"/>
        </w:rPr>
        <w:t xml:space="preserve">for various contract models (Fee Per Day, </w:t>
      </w:r>
      <w:proofErr w:type="spellStart"/>
      <w:r w:rsidRPr="00E70D4E">
        <w:rPr>
          <w:rFonts w:asciiTheme="minorHAnsi" w:eastAsia="Calibri" w:hAnsiTheme="minorHAnsi" w:cs="Arial"/>
          <w:kern w:val="2"/>
          <w:sz w:val="22"/>
          <w:szCs w:val="22"/>
          <w:lang w:eastAsia="en-US" w:bidi="he-IL"/>
        </w:rPr>
        <w:t>PbR</w:t>
      </w:r>
      <w:proofErr w:type="spellEnd"/>
      <w:r w:rsidRPr="00E70D4E">
        <w:rPr>
          <w:rFonts w:asciiTheme="minorHAnsi" w:eastAsia="Calibri" w:hAnsiTheme="minorHAnsi" w:cs="Arial"/>
          <w:kern w:val="2"/>
          <w:sz w:val="22"/>
          <w:szCs w:val="22"/>
          <w:lang w:eastAsia="en-US" w:bidi="he-IL"/>
        </w:rPr>
        <w:t>, Lump Sum), and ensuring tax compliance. Additionally, the project aims to provide training and capacity-building resources to strengthen NRC’s internal expertise in pricing and budgeting for commercial contracting.</w:t>
      </w:r>
    </w:p>
    <w:p w14:paraId="5E0F5754" w14:textId="77777777" w:rsidR="002F66FB" w:rsidRPr="002F66FB" w:rsidRDefault="002F66FB" w:rsidP="002F66FB">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sidRPr="002F66FB">
        <w:rPr>
          <w:rFonts w:asciiTheme="minorHAnsi" w:eastAsia="MS Gothic" w:hAnsiTheme="minorHAnsi" w:cstheme="minorBidi"/>
          <w:color w:val="FF7602"/>
          <w:sz w:val="28"/>
          <w:szCs w:val="28"/>
          <w:lang w:eastAsia="en-US"/>
        </w:rPr>
        <w:t>Methodology:</w:t>
      </w:r>
    </w:p>
    <w:p w14:paraId="0D96274E" w14:textId="11A7D6D6" w:rsidR="002F66FB" w:rsidRPr="002F66FB" w:rsidRDefault="002F66FB" w:rsidP="002F66FB">
      <w:pPr>
        <w:numPr>
          <w:ilvl w:val="0"/>
          <w:numId w:val="40"/>
        </w:numPr>
        <w:spacing w:after="160" w:line="259" w:lineRule="auto"/>
        <w:jc w:val="both"/>
        <w:rPr>
          <w:rFonts w:asciiTheme="minorHAnsi" w:eastAsia="Calibri" w:hAnsiTheme="minorHAnsi" w:cs="Arial"/>
          <w:kern w:val="2"/>
          <w:sz w:val="22"/>
          <w:szCs w:val="22"/>
          <w:lang w:eastAsia="en-US" w:bidi="he-IL"/>
        </w:rPr>
      </w:pPr>
      <w:r w:rsidRPr="002F66FB">
        <w:rPr>
          <w:rFonts w:asciiTheme="minorHAnsi" w:eastAsia="Calibri" w:hAnsiTheme="minorHAnsi" w:cs="Arial"/>
          <w:b/>
          <w:bCs/>
          <w:kern w:val="2"/>
          <w:sz w:val="22"/>
          <w:szCs w:val="22"/>
          <w:lang w:eastAsia="en-US" w:bidi="he-IL"/>
        </w:rPr>
        <w:t>Review and Assessment:</w:t>
      </w:r>
      <w:r w:rsidRPr="002F66FB">
        <w:rPr>
          <w:rFonts w:asciiTheme="minorHAnsi" w:eastAsia="Calibri" w:hAnsiTheme="minorHAnsi" w:cs="Arial"/>
          <w:kern w:val="2"/>
          <w:sz w:val="22"/>
          <w:szCs w:val="22"/>
          <w:lang w:eastAsia="en-US" w:bidi="he-IL"/>
        </w:rPr>
        <w:t xml:space="preserve"> Conduct a thorough review of NRC’s existing pricing practices, budget templates, and tax compliance strategies to identify gaps, inefficiencies, and areas for improvement.</w:t>
      </w:r>
    </w:p>
    <w:p w14:paraId="546EA37E" w14:textId="1B8CEC2E" w:rsidR="002F66FB" w:rsidRPr="002F66FB" w:rsidRDefault="002F66FB" w:rsidP="002F66FB">
      <w:pPr>
        <w:numPr>
          <w:ilvl w:val="0"/>
          <w:numId w:val="40"/>
        </w:numPr>
        <w:spacing w:after="160" w:line="259" w:lineRule="auto"/>
        <w:jc w:val="both"/>
        <w:rPr>
          <w:rFonts w:asciiTheme="minorHAnsi" w:eastAsia="Calibri" w:hAnsiTheme="minorHAnsi" w:cs="Arial"/>
          <w:kern w:val="2"/>
          <w:sz w:val="22"/>
          <w:szCs w:val="22"/>
          <w:lang w:eastAsia="en-US" w:bidi="he-IL"/>
        </w:rPr>
      </w:pPr>
      <w:r w:rsidRPr="002F66FB">
        <w:rPr>
          <w:rFonts w:asciiTheme="minorHAnsi" w:eastAsia="Calibri" w:hAnsiTheme="minorHAnsi" w:cs="Arial"/>
          <w:b/>
          <w:bCs/>
          <w:kern w:val="2"/>
          <w:sz w:val="22"/>
          <w:szCs w:val="22"/>
          <w:lang w:eastAsia="en-US" w:bidi="he-IL"/>
        </w:rPr>
        <w:t>Stakeholder Engagement:</w:t>
      </w:r>
      <w:r w:rsidRPr="002F66FB">
        <w:rPr>
          <w:rFonts w:asciiTheme="minorHAnsi" w:eastAsia="Calibri" w:hAnsiTheme="minorHAnsi" w:cs="Arial"/>
          <w:kern w:val="2"/>
          <w:sz w:val="22"/>
          <w:szCs w:val="22"/>
          <w:lang w:eastAsia="en-US" w:bidi="he-IL"/>
        </w:rPr>
        <w:t xml:space="preserve"> Engag</w:t>
      </w:r>
      <w:r>
        <w:rPr>
          <w:rFonts w:asciiTheme="minorHAnsi" w:eastAsia="Calibri" w:hAnsiTheme="minorHAnsi" w:cs="Arial"/>
          <w:kern w:val="2"/>
          <w:sz w:val="22"/>
          <w:szCs w:val="22"/>
          <w:lang w:eastAsia="en-US" w:bidi="he-IL"/>
        </w:rPr>
        <w:t xml:space="preserve">e </w:t>
      </w:r>
      <w:r w:rsidRPr="002F66FB">
        <w:rPr>
          <w:rFonts w:asciiTheme="minorHAnsi" w:eastAsia="Calibri" w:hAnsiTheme="minorHAnsi" w:cs="Arial"/>
          <w:kern w:val="2"/>
          <w:sz w:val="22"/>
          <w:szCs w:val="22"/>
          <w:lang w:eastAsia="en-US" w:bidi="he-IL"/>
        </w:rPr>
        <w:t>with key stakeholders across NRC to gather insights into current challenges, regulatory requirements, and best practices.</w:t>
      </w:r>
    </w:p>
    <w:p w14:paraId="3382EF8B" w14:textId="19CEA52C" w:rsidR="002F66FB" w:rsidRPr="002F66FB" w:rsidRDefault="002F66FB" w:rsidP="002F66FB">
      <w:pPr>
        <w:numPr>
          <w:ilvl w:val="0"/>
          <w:numId w:val="40"/>
        </w:numPr>
        <w:spacing w:after="160" w:line="259" w:lineRule="auto"/>
        <w:jc w:val="both"/>
        <w:rPr>
          <w:rFonts w:asciiTheme="minorHAnsi" w:eastAsia="Calibri" w:hAnsiTheme="minorHAnsi" w:cs="Arial"/>
          <w:kern w:val="2"/>
          <w:sz w:val="22"/>
          <w:szCs w:val="22"/>
          <w:lang w:eastAsia="en-US" w:bidi="he-IL"/>
        </w:rPr>
      </w:pPr>
      <w:r w:rsidRPr="002F66FB">
        <w:rPr>
          <w:rFonts w:asciiTheme="minorHAnsi" w:eastAsia="Calibri" w:hAnsiTheme="minorHAnsi" w:cs="Arial"/>
          <w:b/>
          <w:bCs/>
          <w:kern w:val="2"/>
          <w:sz w:val="22"/>
          <w:szCs w:val="22"/>
          <w:lang w:eastAsia="en-US" w:bidi="he-IL"/>
        </w:rPr>
        <w:t>Development of Tools and Guidelines:</w:t>
      </w:r>
      <w:r w:rsidRPr="002F66FB">
        <w:rPr>
          <w:rFonts w:asciiTheme="minorHAnsi" w:eastAsia="Calibri" w:hAnsiTheme="minorHAnsi" w:cs="Arial"/>
          <w:kern w:val="2"/>
          <w:sz w:val="22"/>
          <w:szCs w:val="22"/>
          <w:lang w:eastAsia="en-US" w:bidi="he-IL"/>
        </w:rPr>
        <w:t xml:space="preserve"> Design bespoke budget templates, pricing SOPs, and a tax compliance framework to ensure that pricing strategies are competitive, </w:t>
      </w:r>
      <w:r>
        <w:rPr>
          <w:rFonts w:asciiTheme="minorHAnsi" w:eastAsia="Calibri" w:hAnsiTheme="minorHAnsi" w:cs="Arial"/>
          <w:kern w:val="2"/>
          <w:sz w:val="22"/>
          <w:szCs w:val="22"/>
          <w:lang w:eastAsia="en-US" w:bidi="he-IL"/>
        </w:rPr>
        <w:t xml:space="preserve">and </w:t>
      </w:r>
      <w:r w:rsidRPr="002F66FB">
        <w:rPr>
          <w:rFonts w:asciiTheme="minorHAnsi" w:eastAsia="Calibri" w:hAnsiTheme="minorHAnsi" w:cs="Arial"/>
          <w:kern w:val="2"/>
          <w:sz w:val="22"/>
          <w:szCs w:val="22"/>
          <w:lang w:eastAsia="en-US" w:bidi="he-IL"/>
        </w:rPr>
        <w:t>transparen</w:t>
      </w:r>
      <w:r>
        <w:rPr>
          <w:rFonts w:asciiTheme="minorHAnsi" w:eastAsia="Calibri" w:hAnsiTheme="minorHAnsi" w:cs="Arial"/>
          <w:kern w:val="2"/>
          <w:sz w:val="22"/>
          <w:szCs w:val="22"/>
          <w:lang w:eastAsia="en-US" w:bidi="he-IL"/>
        </w:rPr>
        <w:t xml:space="preserve">t. In addition, ensure that all products are </w:t>
      </w:r>
      <w:r w:rsidRPr="002F66FB">
        <w:rPr>
          <w:rFonts w:asciiTheme="minorHAnsi" w:eastAsia="Calibri" w:hAnsiTheme="minorHAnsi" w:cs="Arial"/>
          <w:kern w:val="2"/>
          <w:sz w:val="22"/>
          <w:szCs w:val="22"/>
          <w:lang w:eastAsia="en-US" w:bidi="he-IL"/>
        </w:rPr>
        <w:t>compliant with FCDO and World Bank regulations</w:t>
      </w:r>
      <w:r>
        <w:rPr>
          <w:rFonts w:asciiTheme="minorHAnsi" w:eastAsia="Calibri" w:hAnsiTheme="minorHAnsi" w:cs="Arial"/>
          <w:kern w:val="2"/>
          <w:sz w:val="22"/>
          <w:szCs w:val="22"/>
          <w:lang w:eastAsia="en-US" w:bidi="he-IL"/>
        </w:rPr>
        <w:t xml:space="preserve">. </w:t>
      </w:r>
    </w:p>
    <w:p w14:paraId="412C6802" w14:textId="6A77A41D" w:rsidR="002F66FB" w:rsidRPr="002F66FB" w:rsidRDefault="002F66FB" w:rsidP="002F66FB">
      <w:pPr>
        <w:numPr>
          <w:ilvl w:val="0"/>
          <w:numId w:val="40"/>
        </w:numPr>
        <w:spacing w:after="160" w:line="259" w:lineRule="auto"/>
        <w:jc w:val="both"/>
        <w:rPr>
          <w:rFonts w:asciiTheme="minorHAnsi" w:eastAsia="Calibri" w:hAnsiTheme="minorHAnsi" w:cs="Arial"/>
          <w:kern w:val="2"/>
          <w:sz w:val="22"/>
          <w:szCs w:val="22"/>
          <w:lang w:eastAsia="en-US" w:bidi="he-IL"/>
        </w:rPr>
      </w:pPr>
      <w:r w:rsidRPr="002F66FB">
        <w:rPr>
          <w:rFonts w:asciiTheme="minorHAnsi" w:eastAsia="Calibri" w:hAnsiTheme="minorHAnsi" w:cs="Arial"/>
          <w:b/>
          <w:bCs/>
          <w:kern w:val="2"/>
          <w:sz w:val="22"/>
          <w:szCs w:val="22"/>
          <w:lang w:eastAsia="en-US" w:bidi="he-IL"/>
        </w:rPr>
        <w:t>Capacity-Building:</w:t>
      </w:r>
      <w:r w:rsidRPr="002F66FB">
        <w:rPr>
          <w:rFonts w:asciiTheme="minorHAnsi" w:eastAsia="Calibri" w:hAnsiTheme="minorHAnsi" w:cs="Arial"/>
          <w:kern w:val="2"/>
          <w:sz w:val="22"/>
          <w:szCs w:val="22"/>
          <w:lang w:eastAsia="en-US" w:bidi="he-IL"/>
        </w:rPr>
        <w:t xml:space="preserve"> Develop and deliver training sessions on pricing strategies, financial risk management, and budgeting techniques, with materials for ongoing refresher courses.</w:t>
      </w:r>
    </w:p>
    <w:p w14:paraId="3F92E50E" w14:textId="77777777" w:rsidR="002F66FB" w:rsidRPr="0066557B" w:rsidRDefault="002F66FB" w:rsidP="000D4311">
      <w:pPr>
        <w:spacing w:after="160" w:line="259" w:lineRule="auto"/>
        <w:jc w:val="both"/>
        <w:rPr>
          <w:rFonts w:asciiTheme="minorHAnsi" w:eastAsia="Calibri" w:hAnsiTheme="minorHAnsi" w:cs="Arial"/>
          <w:kern w:val="2"/>
          <w:sz w:val="22"/>
          <w:szCs w:val="22"/>
          <w:lang w:eastAsia="en-US" w:bidi="he-IL"/>
        </w:rPr>
      </w:pPr>
    </w:p>
    <w:p w14:paraId="64F78C48" w14:textId="77CE1543" w:rsidR="00F51E58" w:rsidRPr="00F51E58" w:rsidRDefault="00517E91" w:rsidP="002F66FB">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sidRPr="002F66FB">
        <w:rPr>
          <w:rFonts w:asciiTheme="minorHAnsi" w:eastAsia="MS Gothic" w:hAnsiTheme="minorHAnsi" w:cstheme="minorBidi"/>
          <w:color w:val="FF7602"/>
          <w:sz w:val="28"/>
          <w:szCs w:val="28"/>
          <w:lang w:eastAsia="en-US"/>
        </w:rPr>
        <w:t>Scope of work and deliverables</w:t>
      </w:r>
    </w:p>
    <w:p w14:paraId="07CD97FA" w14:textId="344B99EA" w:rsidR="00F51E58" w:rsidRPr="00F51E58" w:rsidRDefault="00F51E58" w:rsidP="0044763E">
      <w:pPr>
        <w:spacing w:before="100" w:beforeAutospacing="1" w:after="100" w:afterAutospacing="1"/>
        <w:jc w:val="both"/>
        <w:rPr>
          <w:rFonts w:asciiTheme="minorHAnsi" w:hAnsiTheme="minorHAnsi"/>
          <w:b/>
          <w:bCs/>
          <w:sz w:val="22"/>
          <w:szCs w:val="22"/>
          <w:lang w:eastAsia="en-GB" w:bidi="he-IL"/>
          <w14:ligatures w14:val="none"/>
        </w:rPr>
      </w:pPr>
      <w:r w:rsidRPr="00F51E58">
        <w:rPr>
          <w:rFonts w:asciiTheme="minorHAnsi" w:hAnsiTheme="minorHAnsi"/>
          <w:b/>
          <w:bCs/>
          <w:sz w:val="22"/>
          <w:szCs w:val="22"/>
          <w:lang w:eastAsia="en-GB" w:bidi="he-IL"/>
          <w14:ligatures w14:val="none"/>
        </w:rPr>
        <w:t>1. Assessment of NRC’s Current Cost Proposal Development Process</w:t>
      </w:r>
    </w:p>
    <w:p w14:paraId="5A0C142E" w14:textId="77777777" w:rsidR="002C73B2" w:rsidRPr="0044763E" w:rsidRDefault="002C73B2" w:rsidP="0044763E">
      <w:pPr>
        <w:pStyle w:val="ListParagraph"/>
        <w:numPr>
          <w:ilvl w:val="0"/>
          <w:numId w:val="17"/>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 xml:space="preserve">Review NRC’s existing pricing practices and budget templates for Fee Per Day, </w:t>
      </w:r>
      <w:proofErr w:type="spellStart"/>
      <w:r w:rsidRPr="0044763E">
        <w:rPr>
          <w:rFonts w:asciiTheme="minorHAnsi" w:hAnsiTheme="minorHAnsi"/>
          <w:sz w:val="22"/>
          <w:szCs w:val="22"/>
          <w:lang w:eastAsia="en-GB" w:bidi="he-IL"/>
          <w14:ligatures w14:val="none"/>
        </w:rPr>
        <w:t>PbR</w:t>
      </w:r>
      <w:proofErr w:type="spellEnd"/>
      <w:r w:rsidRPr="0044763E">
        <w:rPr>
          <w:rFonts w:asciiTheme="minorHAnsi" w:hAnsiTheme="minorHAnsi"/>
          <w:sz w:val="22"/>
          <w:szCs w:val="22"/>
          <w:lang w:eastAsia="en-GB" w:bidi="he-IL"/>
          <w14:ligatures w14:val="none"/>
        </w:rPr>
        <w:t>, and Lump Sum models, identifying gaps, inefficiencies, and areas for improvement.</w:t>
      </w:r>
    </w:p>
    <w:p w14:paraId="1C6EFDAF" w14:textId="77777777" w:rsidR="002C73B2" w:rsidRPr="0044763E" w:rsidRDefault="002C73B2" w:rsidP="0044763E">
      <w:pPr>
        <w:pStyle w:val="ListParagraph"/>
        <w:numPr>
          <w:ilvl w:val="0"/>
          <w:numId w:val="17"/>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Engage with key stakeholders to gather insights on current challenges, requirements, and best practices in commercial contracting.</w:t>
      </w:r>
    </w:p>
    <w:p w14:paraId="6906D54C" w14:textId="77777777" w:rsidR="002C73B2" w:rsidRPr="0044763E" w:rsidRDefault="002C73B2" w:rsidP="0044763E">
      <w:pPr>
        <w:pStyle w:val="ListParagraph"/>
        <w:numPr>
          <w:ilvl w:val="0"/>
          <w:numId w:val="17"/>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Assess the financial risks associated with NRC’s commercial proposal development process, with a focus on pricing accuracy and compliance.</w:t>
      </w:r>
    </w:p>
    <w:p w14:paraId="5A4B5D57" w14:textId="4631C3B0" w:rsidR="002C73B2" w:rsidRPr="0044763E" w:rsidRDefault="002C73B2" w:rsidP="0044763E">
      <w:pPr>
        <w:pStyle w:val="ListParagraph"/>
        <w:numPr>
          <w:ilvl w:val="0"/>
          <w:numId w:val="17"/>
        </w:numPr>
        <w:spacing w:before="100" w:beforeAutospacing="1" w:after="100" w:afterAutospacing="1"/>
        <w:jc w:val="both"/>
        <w:rPr>
          <w:rFonts w:asciiTheme="minorHAnsi" w:hAnsiTheme="minorHAnsi"/>
          <w:sz w:val="22"/>
          <w:szCs w:val="22"/>
          <w:lang w:eastAsia="en-GB" w:bidi="he-IL"/>
          <w14:ligatures w14:val="none"/>
        </w:rPr>
      </w:pPr>
      <w:bookmarkStart w:id="0" w:name="_Hlk182927226"/>
      <w:r w:rsidRPr="0044763E">
        <w:rPr>
          <w:rFonts w:asciiTheme="minorHAnsi" w:hAnsiTheme="minorHAnsi"/>
          <w:sz w:val="22"/>
          <w:szCs w:val="22"/>
          <w:lang w:eastAsia="en-GB" w:bidi="he-IL"/>
          <w14:ligatures w14:val="none"/>
        </w:rPr>
        <w:t>Propose risk mitigation strategies to minimize financial exposure, ensuring cost proposals remain competitive, compliant, and aligned with donor expectations.</w:t>
      </w:r>
    </w:p>
    <w:bookmarkEnd w:id="0"/>
    <w:p w14:paraId="02390FFB" w14:textId="5B06BC39" w:rsidR="00AD5C4D" w:rsidRPr="0044763E" w:rsidRDefault="00F51E58" w:rsidP="0044763E">
      <w:pPr>
        <w:spacing w:before="100" w:beforeAutospacing="1" w:after="100" w:afterAutospacing="1"/>
        <w:jc w:val="both"/>
        <w:rPr>
          <w:rFonts w:asciiTheme="minorHAnsi" w:hAnsiTheme="minorHAnsi"/>
          <w:b/>
          <w:bCs/>
          <w:sz w:val="22"/>
          <w:szCs w:val="22"/>
          <w:lang w:eastAsia="en-GB" w:bidi="he-IL"/>
          <w14:ligatures w14:val="none"/>
        </w:rPr>
      </w:pPr>
      <w:r w:rsidRPr="00F51E58">
        <w:rPr>
          <w:rFonts w:asciiTheme="minorHAnsi" w:hAnsiTheme="minorHAnsi"/>
          <w:b/>
          <w:bCs/>
          <w:sz w:val="22"/>
          <w:szCs w:val="22"/>
          <w:lang w:eastAsia="en-GB" w:bidi="he-IL"/>
          <w14:ligatures w14:val="none"/>
        </w:rPr>
        <w:t xml:space="preserve">2. Development of Pricing </w:t>
      </w:r>
      <w:r w:rsidR="00834BF1" w:rsidRPr="0044763E">
        <w:rPr>
          <w:rFonts w:asciiTheme="minorHAnsi" w:hAnsiTheme="minorHAnsi"/>
          <w:b/>
          <w:bCs/>
          <w:sz w:val="22"/>
          <w:szCs w:val="22"/>
          <w:lang w:eastAsia="en-GB" w:bidi="he-IL"/>
          <w14:ligatures w14:val="none"/>
        </w:rPr>
        <w:t xml:space="preserve">and </w:t>
      </w:r>
      <w:r w:rsidR="00834BF1" w:rsidRPr="00F51E58">
        <w:rPr>
          <w:rFonts w:asciiTheme="minorHAnsi" w:hAnsiTheme="minorHAnsi"/>
          <w:b/>
          <w:bCs/>
          <w:sz w:val="22"/>
          <w:szCs w:val="22"/>
          <w:lang w:eastAsia="en-GB" w:bidi="he-IL"/>
          <w14:ligatures w14:val="none"/>
        </w:rPr>
        <w:t>Cost Presentation Methodolog</w:t>
      </w:r>
      <w:r w:rsidR="00AD5C4D" w:rsidRPr="0044763E">
        <w:rPr>
          <w:rFonts w:asciiTheme="minorHAnsi" w:hAnsiTheme="minorHAnsi"/>
          <w:b/>
          <w:bCs/>
          <w:sz w:val="22"/>
          <w:szCs w:val="22"/>
          <w:lang w:eastAsia="en-GB" w:bidi="he-IL"/>
          <w14:ligatures w14:val="none"/>
        </w:rPr>
        <w:t>y</w:t>
      </w:r>
    </w:p>
    <w:p w14:paraId="242B76C5" w14:textId="0F7B24A2" w:rsidR="00551247" w:rsidRPr="0044763E" w:rsidRDefault="00551247" w:rsidP="0044763E">
      <w:pPr>
        <w:numPr>
          <w:ilvl w:val="0"/>
          <w:numId w:val="18"/>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 xml:space="preserve">Design and develop standardized templates for Fee Per Day, </w:t>
      </w:r>
      <w:proofErr w:type="spellStart"/>
      <w:r w:rsidRPr="0044763E">
        <w:rPr>
          <w:rFonts w:asciiTheme="minorHAnsi" w:hAnsiTheme="minorHAnsi"/>
          <w:sz w:val="22"/>
          <w:szCs w:val="22"/>
          <w:lang w:eastAsia="en-GB" w:bidi="he-IL"/>
          <w14:ligatures w14:val="none"/>
        </w:rPr>
        <w:t>PbR</w:t>
      </w:r>
      <w:proofErr w:type="spellEnd"/>
      <w:r w:rsidRPr="0044763E">
        <w:rPr>
          <w:rFonts w:asciiTheme="minorHAnsi" w:hAnsiTheme="minorHAnsi"/>
          <w:sz w:val="22"/>
          <w:szCs w:val="22"/>
          <w:lang w:eastAsia="en-GB" w:bidi="he-IL"/>
          <w14:ligatures w14:val="none"/>
        </w:rPr>
        <w:t>, and Lump Sum contracts ensuring consistency and clarity across all pricing structures.</w:t>
      </w:r>
    </w:p>
    <w:p w14:paraId="23145357" w14:textId="77777777" w:rsidR="00AD5C4D" w:rsidRPr="0044763E" w:rsidRDefault="00551247" w:rsidP="0044763E">
      <w:pPr>
        <w:numPr>
          <w:ilvl w:val="0"/>
          <w:numId w:val="18"/>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 xml:space="preserve">Develop comprehensive Standard Operating Procedures (SOPs) for each pricing model, ensuring compliance with NRC’s organizational policies and financial regulations. Provide clear guidelines on when and how to apply each pricing structure, addressing common pricing and cost presentation challenges through an FAQ document. </w:t>
      </w:r>
    </w:p>
    <w:p w14:paraId="327835B0" w14:textId="333C1592" w:rsidR="00551247" w:rsidRPr="0044763E" w:rsidRDefault="00551247" w:rsidP="0044763E">
      <w:pPr>
        <w:numPr>
          <w:ilvl w:val="0"/>
          <w:numId w:val="18"/>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Ensure that the pricing models meet the bespoke financial proposal requirements of FCDO and the World Bank.</w:t>
      </w:r>
    </w:p>
    <w:p w14:paraId="40DD18EE" w14:textId="69006830" w:rsidR="006F7317" w:rsidRPr="00F51E58" w:rsidRDefault="00551247" w:rsidP="008501F8">
      <w:pPr>
        <w:numPr>
          <w:ilvl w:val="0"/>
          <w:numId w:val="18"/>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Ensure that all tools, templates, and guidelines are scalable and adaptable to accommodate evolving organizational needs and changing donor requirements.</w:t>
      </w:r>
    </w:p>
    <w:p w14:paraId="77D7A30A" w14:textId="4089392D" w:rsidR="00F51E58" w:rsidRPr="00F51E58" w:rsidRDefault="00843A24" w:rsidP="0044763E">
      <w:pPr>
        <w:spacing w:before="100" w:beforeAutospacing="1" w:after="100" w:afterAutospacing="1"/>
        <w:jc w:val="both"/>
        <w:rPr>
          <w:rFonts w:asciiTheme="minorHAnsi" w:hAnsiTheme="minorHAnsi"/>
          <w:b/>
          <w:bCs/>
          <w:sz w:val="22"/>
          <w:szCs w:val="22"/>
          <w:lang w:eastAsia="en-GB" w:bidi="he-IL"/>
          <w14:ligatures w14:val="none"/>
        </w:rPr>
      </w:pPr>
      <w:r w:rsidRPr="0044763E">
        <w:rPr>
          <w:rFonts w:asciiTheme="minorHAnsi" w:hAnsiTheme="minorHAnsi"/>
          <w:b/>
          <w:bCs/>
          <w:sz w:val="22"/>
          <w:szCs w:val="22"/>
          <w:lang w:eastAsia="en-GB" w:bidi="he-IL"/>
          <w14:ligatures w14:val="none"/>
        </w:rPr>
        <w:t>3</w:t>
      </w:r>
      <w:r w:rsidR="00F51E58" w:rsidRPr="00F51E58">
        <w:rPr>
          <w:rFonts w:asciiTheme="minorHAnsi" w:hAnsiTheme="minorHAnsi"/>
          <w:b/>
          <w:bCs/>
          <w:sz w:val="22"/>
          <w:szCs w:val="22"/>
          <w:lang w:eastAsia="en-GB" w:bidi="he-IL"/>
          <w14:ligatures w14:val="none"/>
        </w:rPr>
        <w:t>. Develop</w:t>
      </w:r>
      <w:r w:rsidRPr="0044763E">
        <w:rPr>
          <w:rFonts w:asciiTheme="minorHAnsi" w:hAnsiTheme="minorHAnsi"/>
          <w:b/>
          <w:bCs/>
          <w:sz w:val="22"/>
          <w:szCs w:val="22"/>
          <w:lang w:eastAsia="en-GB" w:bidi="he-IL"/>
          <w14:ligatures w14:val="none"/>
        </w:rPr>
        <w:t xml:space="preserve">ment </w:t>
      </w:r>
      <w:r w:rsidR="00EA490F" w:rsidRPr="0044763E">
        <w:rPr>
          <w:rFonts w:asciiTheme="minorHAnsi" w:hAnsiTheme="minorHAnsi"/>
          <w:b/>
          <w:bCs/>
          <w:sz w:val="22"/>
          <w:szCs w:val="22"/>
          <w:lang w:eastAsia="en-GB" w:bidi="he-IL"/>
          <w14:ligatures w14:val="none"/>
        </w:rPr>
        <w:t>of Tax</w:t>
      </w:r>
      <w:r w:rsidR="00F51E58" w:rsidRPr="00F51E58">
        <w:rPr>
          <w:rFonts w:asciiTheme="minorHAnsi" w:hAnsiTheme="minorHAnsi"/>
          <w:b/>
          <w:bCs/>
          <w:sz w:val="22"/>
          <w:szCs w:val="22"/>
          <w:lang w:eastAsia="en-GB" w:bidi="he-IL"/>
          <w14:ligatures w14:val="none"/>
        </w:rPr>
        <w:t xml:space="preserve"> Compliance Guidelines</w:t>
      </w:r>
    </w:p>
    <w:p w14:paraId="0E29173B" w14:textId="77777777" w:rsidR="00EA490F" w:rsidRPr="0044763E" w:rsidRDefault="00EA490F" w:rsidP="0044763E">
      <w:pPr>
        <w:pStyle w:val="ListParagraph"/>
        <w:numPr>
          <w:ilvl w:val="0"/>
          <w:numId w:val="27"/>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Develop a high-level tax compliance framework that covers VAT, profit taxes, tax-exempt scenarios, and applicable tax codes, ensuring alignment with both local and international tax regulations.</w:t>
      </w:r>
    </w:p>
    <w:p w14:paraId="596CE4EF" w14:textId="27CCD02C" w:rsidR="00EA490F" w:rsidRPr="0044763E" w:rsidRDefault="00EA490F" w:rsidP="0044763E">
      <w:pPr>
        <w:pStyle w:val="ListParagraph"/>
        <w:numPr>
          <w:ilvl w:val="0"/>
          <w:numId w:val="27"/>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 xml:space="preserve">Provide expert guidance on the application of tax laws, ensuring that NRC’s pricing and cost proposals are </w:t>
      </w:r>
      <w:proofErr w:type="gramStart"/>
      <w:r w:rsidRPr="0044763E">
        <w:rPr>
          <w:rFonts w:asciiTheme="minorHAnsi" w:hAnsiTheme="minorHAnsi"/>
          <w:sz w:val="22"/>
          <w:szCs w:val="22"/>
          <w:lang w:eastAsia="en-GB" w:bidi="he-IL"/>
          <w14:ligatures w14:val="none"/>
        </w:rPr>
        <w:t>tax-compliant</w:t>
      </w:r>
      <w:proofErr w:type="gramEnd"/>
      <w:r w:rsidRPr="0044763E">
        <w:rPr>
          <w:rFonts w:asciiTheme="minorHAnsi" w:hAnsiTheme="minorHAnsi"/>
          <w:sz w:val="22"/>
          <w:szCs w:val="22"/>
          <w:lang w:eastAsia="en-GB" w:bidi="he-IL"/>
          <w14:ligatures w14:val="none"/>
        </w:rPr>
        <w:t>.</w:t>
      </w:r>
    </w:p>
    <w:p w14:paraId="3A35D77A" w14:textId="18A798D1" w:rsidR="00EA490F" w:rsidRPr="0044763E" w:rsidRDefault="00EA490F" w:rsidP="0044763E">
      <w:pPr>
        <w:pStyle w:val="ListParagraph"/>
        <w:numPr>
          <w:ilvl w:val="0"/>
          <w:numId w:val="27"/>
        </w:numPr>
        <w:spacing w:before="100" w:beforeAutospacing="1" w:after="100" w:afterAutospacing="1"/>
        <w:jc w:val="both"/>
        <w:rPr>
          <w:rFonts w:asciiTheme="minorHAnsi" w:hAnsiTheme="minorHAnsi"/>
          <w:sz w:val="22"/>
          <w:szCs w:val="22"/>
          <w:lang w:eastAsia="en-GB" w:bidi="he-IL"/>
          <w14:ligatures w14:val="none"/>
        </w:rPr>
      </w:pPr>
      <w:r w:rsidRPr="0044763E">
        <w:rPr>
          <w:rFonts w:asciiTheme="minorHAnsi" w:hAnsiTheme="minorHAnsi"/>
          <w:sz w:val="22"/>
          <w:szCs w:val="22"/>
          <w:lang w:eastAsia="en-GB" w:bidi="he-IL"/>
          <w14:ligatures w14:val="none"/>
        </w:rPr>
        <w:t>Prepare a comprehensive checklist of tax considerations based on different contract structures, ensuring that all relevant tax obligations are addressed, and compliance is maintained across various funding mechanisms.</w:t>
      </w:r>
    </w:p>
    <w:p w14:paraId="1E3F6A90" w14:textId="752BEB59" w:rsidR="00F51E58" w:rsidRPr="00F51E58" w:rsidRDefault="00843A24" w:rsidP="0044763E">
      <w:pPr>
        <w:spacing w:before="100" w:beforeAutospacing="1" w:after="100" w:afterAutospacing="1"/>
        <w:jc w:val="both"/>
        <w:rPr>
          <w:rFonts w:asciiTheme="minorHAnsi" w:hAnsiTheme="minorHAnsi"/>
          <w:b/>
          <w:bCs/>
          <w:sz w:val="22"/>
          <w:szCs w:val="22"/>
          <w:lang w:eastAsia="en-GB" w:bidi="he-IL"/>
          <w14:ligatures w14:val="none"/>
        </w:rPr>
      </w:pPr>
      <w:r w:rsidRPr="0044763E">
        <w:rPr>
          <w:rFonts w:asciiTheme="minorHAnsi" w:hAnsiTheme="minorHAnsi"/>
          <w:b/>
          <w:bCs/>
          <w:sz w:val="22"/>
          <w:szCs w:val="22"/>
          <w:lang w:eastAsia="en-GB" w:bidi="he-IL"/>
          <w14:ligatures w14:val="none"/>
        </w:rPr>
        <w:t xml:space="preserve">4. </w:t>
      </w:r>
      <w:r w:rsidR="00F51E58" w:rsidRPr="00F51E58">
        <w:rPr>
          <w:rFonts w:asciiTheme="minorHAnsi" w:hAnsiTheme="minorHAnsi"/>
          <w:b/>
          <w:bCs/>
          <w:sz w:val="22"/>
          <w:szCs w:val="22"/>
          <w:lang w:eastAsia="en-GB" w:bidi="he-IL"/>
          <w14:ligatures w14:val="none"/>
        </w:rPr>
        <w:t>Training on Budgeting and Pricing Strategies for Commercial Contracting</w:t>
      </w:r>
    </w:p>
    <w:p w14:paraId="1FBD993F" w14:textId="1E51AE40" w:rsidR="00F51E58" w:rsidRDefault="00F51E58" w:rsidP="0044763E">
      <w:pPr>
        <w:numPr>
          <w:ilvl w:val="0"/>
          <w:numId w:val="20"/>
        </w:numPr>
        <w:spacing w:before="100" w:beforeAutospacing="1" w:after="100" w:afterAutospacing="1"/>
        <w:jc w:val="both"/>
        <w:rPr>
          <w:rFonts w:asciiTheme="minorHAnsi" w:hAnsiTheme="minorHAnsi"/>
          <w:sz w:val="22"/>
          <w:szCs w:val="22"/>
          <w:lang w:eastAsia="en-GB" w:bidi="he-IL"/>
          <w14:ligatures w14:val="none"/>
        </w:rPr>
      </w:pPr>
      <w:r w:rsidRPr="00F51E58">
        <w:rPr>
          <w:rFonts w:asciiTheme="minorHAnsi" w:hAnsiTheme="minorHAnsi"/>
          <w:sz w:val="22"/>
          <w:szCs w:val="22"/>
          <w:lang w:eastAsia="en-GB" w:bidi="he-IL"/>
          <w14:ligatures w14:val="none"/>
        </w:rPr>
        <w:t>Enhance NRC’s internal capacity on how to use new templates and follow updated pricing guidelines.</w:t>
      </w:r>
    </w:p>
    <w:p w14:paraId="0532DE71" w14:textId="2153711D" w:rsidR="0044763E" w:rsidRPr="00F51E58" w:rsidRDefault="0044763E" w:rsidP="0044763E">
      <w:pPr>
        <w:numPr>
          <w:ilvl w:val="0"/>
          <w:numId w:val="20"/>
        </w:numPr>
        <w:spacing w:before="100" w:beforeAutospacing="1" w:after="100" w:afterAutospacing="1"/>
        <w:jc w:val="both"/>
        <w:rPr>
          <w:rFonts w:asciiTheme="minorHAnsi" w:hAnsiTheme="minorHAnsi"/>
          <w:i/>
          <w:iCs/>
          <w:color w:val="156082" w:themeColor="accent1"/>
          <w:sz w:val="22"/>
          <w:szCs w:val="22"/>
          <w:lang w:eastAsia="en-GB" w:bidi="he-IL"/>
          <w14:ligatures w14:val="none"/>
        </w:rPr>
      </w:pPr>
      <w:r w:rsidRPr="00F51E58">
        <w:rPr>
          <w:rFonts w:asciiTheme="minorHAnsi" w:hAnsiTheme="minorHAnsi"/>
          <w:sz w:val="22"/>
          <w:szCs w:val="22"/>
          <w:lang w:eastAsia="en-GB" w:bidi="he-IL"/>
          <w14:ligatures w14:val="none"/>
        </w:rPr>
        <w:t xml:space="preserve">Develop and deliver training sessions or workshops on pricing strategies for Fee Per Day, </w:t>
      </w:r>
      <w:proofErr w:type="spellStart"/>
      <w:r w:rsidRPr="00F51E58">
        <w:rPr>
          <w:rFonts w:asciiTheme="minorHAnsi" w:hAnsiTheme="minorHAnsi"/>
          <w:sz w:val="22"/>
          <w:szCs w:val="22"/>
          <w:lang w:eastAsia="en-GB" w:bidi="he-IL"/>
          <w14:ligatures w14:val="none"/>
        </w:rPr>
        <w:t>PbR</w:t>
      </w:r>
      <w:proofErr w:type="spellEnd"/>
      <w:r w:rsidRPr="00F51E58">
        <w:rPr>
          <w:rFonts w:asciiTheme="minorHAnsi" w:hAnsiTheme="minorHAnsi"/>
          <w:sz w:val="22"/>
          <w:szCs w:val="22"/>
          <w:lang w:eastAsia="en-GB" w:bidi="he-IL"/>
          <w14:ligatures w14:val="none"/>
        </w:rPr>
        <w:t>, and Lump Sum models</w:t>
      </w:r>
      <w:r>
        <w:rPr>
          <w:rFonts w:asciiTheme="minorHAnsi" w:hAnsiTheme="minorHAnsi"/>
          <w:sz w:val="22"/>
          <w:szCs w:val="22"/>
          <w:lang w:eastAsia="en-GB" w:bidi="he-IL"/>
          <w14:ligatures w14:val="none"/>
        </w:rPr>
        <w:t xml:space="preserve"> </w:t>
      </w:r>
      <w:r w:rsidRPr="006F7317">
        <w:rPr>
          <w:rFonts w:asciiTheme="minorHAnsi" w:hAnsiTheme="minorHAnsi"/>
          <w:i/>
          <w:iCs/>
          <w:color w:val="156082" w:themeColor="accent1"/>
          <w:sz w:val="22"/>
          <w:szCs w:val="22"/>
          <w:lang w:eastAsia="en-GB" w:bidi="he-IL"/>
          <w14:ligatures w14:val="none"/>
        </w:rPr>
        <w:t xml:space="preserve">**optional** </w:t>
      </w:r>
    </w:p>
    <w:p w14:paraId="47ACCF64" w14:textId="6BD97402" w:rsidR="00F51E58" w:rsidRPr="00F51E58" w:rsidRDefault="00843A24" w:rsidP="0044763E">
      <w:pPr>
        <w:spacing w:before="100" w:beforeAutospacing="1" w:after="100" w:afterAutospacing="1"/>
        <w:jc w:val="both"/>
        <w:rPr>
          <w:rFonts w:asciiTheme="minorHAnsi" w:hAnsiTheme="minorHAnsi"/>
          <w:b/>
          <w:bCs/>
          <w:sz w:val="22"/>
          <w:szCs w:val="22"/>
          <w:lang w:eastAsia="en-GB" w:bidi="he-IL"/>
          <w14:ligatures w14:val="none"/>
        </w:rPr>
      </w:pPr>
      <w:r w:rsidRPr="0044763E">
        <w:rPr>
          <w:rFonts w:asciiTheme="minorHAnsi" w:hAnsiTheme="minorHAnsi"/>
          <w:b/>
          <w:bCs/>
          <w:sz w:val="22"/>
          <w:szCs w:val="22"/>
          <w:lang w:eastAsia="en-GB" w:bidi="he-IL"/>
          <w14:ligatures w14:val="none"/>
        </w:rPr>
        <w:t xml:space="preserve">5. </w:t>
      </w:r>
      <w:r w:rsidR="00F5249B" w:rsidRPr="0044763E">
        <w:rPr>
          <w:rFonts w:asciiTheme="minorHAnsi" w:hAnsiTheme="minorHAnsi"/>
          <w:b/>
          <w:bCs/>
          <w:sz w:val="22"/>
          <w:szCs w:val="22"/>
          <w:lang w:eastAsia="en-GB" w:bidi="he-IL"/>
          <w14:ligatures w14:val="none"/>
        </w:rPr>
        <w:t xml:space="preserve">Facilitate </w:t>
      </w:r>
      <w:r w:rsidR="00F51E58" w:rsidRPr="00F51E58">
        <w:rPr>
          <w:rFonts w:asciiTheme="minorHAnsi" w:hAnsiTheme="minorHAnsi"/>
          <w:b/>
          <w:bCs/>
          <w:sz w:val="22"/>
          <w:szCs w:val="22"/>
          <w:lang w:eastAsia="en-GB" w:bidi="he-IL"/>
          <w14:ligatures w14:val="none"/>
        </w:rPr>
        <w:t>Stakeholder Engagement &amp; Feedback</w:t>
      </w:r>
    </w:p>
    <w:p w14:paraId="638C5BBF" w14:textId="41A65795" w:rsidR="00F51E58" w:rsidRPr="00F51E58" w:rsidRDefault="00F51E58" w:rsidP="0044763E">
      <w:pPr>
        <w:numPr>
          <w:ilvl w:val="0"/>
          <w:numId w:val="21"/>
        </w:numPr>
        <w:spacing w:before="100" w:beforeAutospacing="1" w:after="100" w:afterAutospacing="1"/>
        <w:jc w:val="both"/>
        <w:rPr>
          <w:rFonts w:asciiTheme="minorHAnsi" w:hAnsiTheme="minorHAnsi"/>
          <w:sz w:val="22"/>
          <w:szCs w:val="22"/>
          <w:lang w:eastAsia="en-GB" w:bidi="he-IL"/>
          <w14:ligatures w14:val="none"/>
        </w:rPr>
      </w:pPr>
      <w:r w:rsidRPr="00F51E58">
        <w:rPr>
          <w:rFonts w:asciiTheme="minorHAnsi" w:hAnsiTheme="minorHAnsi"/>
          <w:sz w:val="22"/>
          <w:szCs w:val="22"/>
          <w:lang w:eastAsia="en-GB" w:bidi="he-IL"/>
          <w14:ligatures w14:val="none"/>
        </w:rPr>
        <w:t xml:space="preserve">Collect feedback from relevant </w:t>
      </w:r>
      <w:r w:rsidR="00DA2064">
        <w:rPr>
          <w:rFonts w:asciiTheme="minorHAnsi" w:hAnsiTheme="minorHAnsi"/>
          <w:sz w:val="22"/>
          <w:szCs w:val="22"/>
          <w:lang w:eastAsia="en-GB" w:bidi="he-IL"/>
          <w14:ligatures w14:val="none"/>
        </w:rPr>
        <w:t xml:space="preserve">stakeholder and </w:t>
      </w:r>
      <w:r w:rsidRPr="00F51E58">
        <w:rPr>
          <w:rFonts w:asciiTheme="minorHAnsi" w:hAnsiTheme="minorHAnsi"/>
          <w:sz w:val="22"/>
          <w:szCs w:val="22"/>
          <w:lang w:eastAsia="en-GB" w:bidi="he-IL"/>
          <w14:ligatures w14:val="none"/>
        </w:rPr>
        <w:t xml:space="preserve">revise </w:t>
      </w:r>
      <w:r w:rsidR="00B70A34">
        <w:rPr>
          <w:rFonts w:asciiTheme="minorHAnsi" w:hAnsiTheme="minorHAnsi"/>
          <w:sz w:val="22"/>
          <w:szCs w:val="22"/>
          <w:lang w:eastAsia="en-GB" w:bidi="he-IL"/>
          <w14:ligatures w14:val="none"/>
        </w:rPr>
        <w:t xml:space="preserve">draft </w:t>
      </w:r>
      <w:r w:rsidRPr="00F51E58">
        <w:rPr>
          <w:rFonts w:asciiTheme="minorHAnsi" w:hAnsiTheme="minorHAnsi"/>
          <w:sz w:val="22"/>
          <w:szCs w:val="22"/>
          <w:lang w:eastAsia="en-GB" w:bidi="he-IL"/>
          <w14:ligatures w14:val="none"/>
        </w:rPr>
        <w:t xml:space="preserve">documents to ensure alignment with </w:t>
      </w:r>
      <w:r w:rsidR="00DA2064">
        <w:rPr>
          <w:rFonts w:asciiTheme="minorHAnsi" w:hAnsiTheme="minorHAnsi"/>
          <w:sz w:val="22"/>
          <w:szCs w:val="22"/>
          <w:lang w:eastAsia="en-GB" w:bidi="he-IL"/>
          <w14:ligatures w14:val="none"/>
        </w:rPr>
        <w:t xml:space="preserve">NRC’s </w:t>
      </w:r>
      <w:r w:rsidRPr="00F51E58">
        <w:rPr>
          <w:rFonts w:asciiTheme="minorHAnsi" w:hAnsiTheme="minorHAnsi"/>
          <w:sz w:val="22"/>
          <w:szCs w:val="22"/>
          <w:lang w:eastAsia="en-GB" w:bidi="he-IL"/>
          <w14:ligatures w14:val="none"/>
        </w:rPr>
        <w:t>needs.</w:t>
      </w:r>
    </w:p>
    <w:p w14:paraId="5796EE35" w14:textId="127B0D07" w:rsidR="002D2E85" w:rsidRPr="0044763E" w:rsidRDefault="00F51E58" w:rsidP="0044763E">
      <w:pPr>
        <w:numPr>
          <w:ilvl w:val="0"/>
          <w:numId w:val="21"/>
        </w:numPr>
        <w:spacing w:before="100" w:beforeAutospacing="1" w:after="100" w:afterAutospacing="1"/>
        <w:jc w:val="both"/>
        <w:rPr>
          <w:rFonts w:asciiTheme="minorHAnsi" w:hAnsiTheme="minorHAnsi"/>
          <w:sz w:val="22"/>
          <w:szCs w:val="22"/>
          <w:lang w:eastAsia="en-GB" w:bidi="he-IL"/>
          <w14:ligatures w14:val="none"/>
        </w:rPr>
      </w:pPr>
      <w:r w:rsidRPr="00F51E58">
        <w:rPr>
          <w:rFonts w:asciiTheme="minorHAnsi" w:hAnsiTheme="minorHAnsi"/>
          <w:sz w:val="22"/>
          <w:szCs w:val="22"/>
          <w:lang w:eastAsia="en-GB" w:bidi="he-IL"/>
          <w14:ligatures w14:val="none"/>
        </w:rPr>
        <w:t>Finalize the documents based on stakeholder feedback to ensure practical application and effectiveness</w:t>
      </w:r>
    </w:p>
    <w:p w14:paraId="5C56079D" w14:textId="41740BF0" w:rsidR="00517E91" w:rsidRDefault="00A246E3" w:rsidP="00517E91">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Pr>
          <w:rFonts w:asciiTheme="minorHAnsi" w:eastAsia="MS Gothic" w:hAnsiTheme="minorHAnsi" w:cstheme="minorBidi"/>
          <w:color w:val="FF7602"/>
          <w:sz w:val="28"/>
          <w:szCs w:val="28"/>
          <w:lang w:eastAsia="en-US"/>
        </w:rPr>
        <w:t xml:space="preserve">Deliverables </w:t>
      </w:r>
    </w:p>
    <w:p w14:paraId="24F774C1" w14:textId="77777777" w:rsidR="00A246E3" w:rsidRPr="006F7317" w:rsidRDefault="00A246E3" w:rsidP="00A246E3">
      <w:pPr>
        <w:rPr>
          <w:rFonts w:asciiTheme="minorHAnsi" w:eastAsia="MS Gothic" w:hAnsiTheme="minorHAnsi"/>
          <w:sz w:val="22"/>
          <w:szCs w:val="22"/>
          <w:lang w:eastAsia="en-US"/>
        </w:rPr>
      </w:pPr>
      <w:r w:rsidRPr="00C22F4A">
        <w:rPr>
          <w:rFonts w:asciiTheme="minorHAnsi" w:eastAsia="MS Gothic" w:hAnsiTheme="minorHAnsi"/>
          <w:sz w:val="22"/>
          <w:szCs w:val="22"/>
          <w:lang w:eastAsia="en-US"/>
        </w:rPr>
        <w:t>The consultant will be expected to deliver the following:</w:t>
      </w:r>
    </w:p>
    <w:p w14:paraId="3C713461" w14:textId="77777777" w:rsidR="00465A85" w:rsidRPr="006F7317" w:rsidRDefault="00465A85" w:rsidP="00A246E3">
      <w:pPr>
        <w:rPr>
          <w:rFonts w:asciiTheme="minorHAnsi" w:eastAsia="MS Gothic" w:hAnsiTheme="minorHAnsi"/>
          <w:sz w:val="22"/>
          <w:szCs w:val="22"/>
          <w:lang w:eastAsia="en-US"/>
        </w:rPr>
      </w:pPr>
    </w:p>
    <w:p w14:paraId="445E969F" w14:textId="48F68349" w:rsidR="006C152B" w:rsidRPr="006C152B" w:rsidRDefault="001E3598" w:rsidP="006C152B">
      <w:pPr>
        <w:pStyle w:val="ListParagraph"/>
        <w:numPr>
          <w:ilvl w:val="0"/>
          <w:numId w:val="22"/>
        </w:numPr>
        <w:spacing w:before="100" w:beforeAutospacing="1" w:after="100" w:afterAutospacing="1"/>
        <w:rPr>
          <w:rFonts w:asciiTheme="minorHAnsi" w:hAnsiTheme="minorHAnsi"/>
          <w:sz w:val="22"/>
          <w:szCs w:val="22"/>
          <w:lang w:eastAsia="en-GB" w:bidi="he-IL"/>
          <w14:ligatures w14:val="none"/>
        </w:rPr>
      </w:pPr>
      <w:r w:rsidRPr="006F7317">
        <w:rPr>
          <w:rFonts w:asciiTheme="minorHAnsi" w:hAnsiTheme="minorHAnsi"/>
          <w:b/>
          <w:bCs/>
          <w:sz w:val="22"/>
          <w:szCs w:val="22"/>
          <w:lang w:eastAsia="en-GB" w:bidi="he-IL"/>
          <w14:ligatures w14:val="none"/>
        </w:rPr>
        <w:t>Assessment Report:</w:t>
      </w:r>
      <w:r w:rsidRPr="006F7317">
        <w:rPr>
          <w:rFonts w:asciiTheme="minorHAnsi" w:hAnsiTheme="minorHAnsi"/>
          <w:sz w:val="22"/>
          <w:szCs w:val="22"/>
          <w:lang w:eastAsia="en-GB" w:bidi="he-IL"/>
          <w14:ligatures w14:val="none"/>
        </w:rPr>
        <w:br/>
        <w:t>A</w:t>
      </w:r>
      <w:r w:rsidR="006C152B">
        <w:rPr>
          <w:rFonts w:asciiTheme="minorHAnsi" w:hAnsiTheme="minorHAnsi"/>
          <w:sz w:val="22"/>
          <w:szCs w:val="22"/>
          <w:lang w:eastAsia="en-GB" w:bidi="he-IL"/>
          <w14:ligatures w14:val="none"/>
        </w:rPr>
        <w:t xml:space="preserve">n </w:t>
      </w:r>
      <w:r w:rsidRPr="006F7317">
        <w:rPr>
          <w:rFonts w:asciiTheme="minorHAnsi" w:hAnsiTheme="minorHAnsi"/>
          <w:sz w:val="22"/>
          <w:szCs w:val="22"/>
          <w:lang w:eastAsia="en-GB" w:bidi="he-IL"/>
          <w14:ligatures w14:val="none"/>
        </w:rPr>
        <w:t xml:space="preserve">evaluation of NRC’s current cost proposal development process, identifying gaps and inefficiencies. Includes </w:t>
      </w:r>
      <w:r w:rsidR="006C152B" w:rsidRPr="006C152B">
        <w:rPr>
          <w:rFonts w:asciiTheme="minorHAnsi" w:hAnsiTheme="minorHAnsi"/>
          <w:sz w:val="22"/>
          <w:szCs w:val="22"/>
          <w:lang w:eastAsia="en-GB" w:bidi="he-IL"/>
          <w14:ligatures w14:val="none"/>
        </w:rPr>
        <w:t>risk mitigation strategies to minimize financial exposure, ensuring cost proposals remain competitive, compliant, and aligned with donor expectations.</w:t>
      </w:r>
    </w:p>
    <w:p w14:paraId="36CE0E5E" w14:textId="77777777" w:rsidR="00783E16" w:rsidRPr="006F7317" w:rsidRDefault="00783E16" w:rsidP="00783E16">
      <w:pPr>
        <w:pStyle w:val="ListParagraph"/>
        <w:spacing w:before="100" w:beforeAutospacing="1" w:after="100" w:afterAutospacing="1"/>
        <w:rPr>
          <w:rFonts w:asciiTheme="minorHAnsi" w:hAnsiTheme="minorHAnsi"/>
          <w:sz w:val="22"/>
          <w:szCs w:val="22"/>
          <w:lang w:eastAsia="en-GB" w:bidi="he-IL"/>
          <w14:ligatures w14:val="none"/>
        </w:rPr>
      </w:pPr>
    </w:p>
    <w:p w14:paraId="4D9B1F09" w14:textId="77777777" w:rsidR="00202ADA" w:rsidRPr="00202ADA" w:rsidRDefault="001E3598" w:rsidP="00202ADA">
      <w:pPr>
        <w:pStyle w:val="ListParagraph"/>
        <w:numPr>
          <w:ilvl w:val="0"/>
          <w:numId w:val="22"/>
        </w:numPr>
        <w:spacing w:before="100" w:beforeAutospacing="1" w:after="100" w:afterAutospacing="1"/>
        <w:rPr>
          <w:rFonts w:asciiTheme="minorHAnsi" w:hAnsiTheme="minorHAnsi"/>
          <w:sz w:val="22"/>
          <w:szCs w:val="22"/>
          <w:lang w:eastAsia="en-GB" w:bidi="he-IL"/>
          <w14:ligatures w14:val="none"/>
        </w:rPr>
      </w:pPr>
      <w:r w:rsidRPr="006F7317">
        <w:rPr>
          <w:rFonts w:asciiTheme="minorHAnsi" w:hAnsiTheme="minorHAnsi"/>
          <w:b/>
          <w:bCs/>
          <w:sz w:val="22"/>
          <w:szCs w:val="22"/>
          <w:lang w:eastAsia="en-GB" w:bidi="he-IL"/>
          <w14:ligatures w14:val="none"/>
        </w:rPr>
        <w:t>Standardized Cost Presentation Formats:</w:t>
      </w:r>
      <w:r w:rsidRPr="006F7317">
        <w:rPr>
          <w:rFonts w:asciiTheme="minorHAnsi" w:hAnsiTheme="minorHAnsi"/>
          <w:sz w:val="22"/>
          <w:szCs w:val="22"/>
          <w:lang w:eastAsia="en-GB" w:bidi="he-IL"/>
          <w14:ligatures w14:val="none"/>
        </w:rPr>
        <w:br/>
      </w:r>
      <w:r w:rsidR="00202ADA" w:rsidRPr="00202ADA">
        <w:rPr>
          <w:rFonts w:asciiTheme="minorHAnsi" w:hAnsiTheme="minorHAnsi"/>
          <w:sz w:val="22"/>
          <w:szCs w:val="22"/>
          <w:lang w:eastAsia="en-GB" w:bidi="he-IL"/>
          <w14:ligatures w14:val="none"/>
        </w:rPr>
        <w:t xml:space="preserve">Develop or improve bespoke budget templates for commercial proposals, including templates for Fee Per Day, </w:t>
      </w:r>
      <w:proofErr w:type="spellStart"/>
      <w:r w:rsidR="00202ADA" w:rsidRPr="00202ADA">
        <w:rPr>
          <w:rFonts w:asciiTheme="minorHAnsi" w:hAnsiTheme="minorHAnsi"/>
          <w:sz w:val="22"/>
          <w:szCs w:val="22"/>
          <w:lang w:eastAsia="en-GB" w:bidi="he-IL"/>
          <w14:ligatures w14:val="none"/>
        </w:rPr>
        <w:t>PbR</w:t>
      </w:r>
      <w:proofErr w:type="spellEnd"/>
      <w:r w:rsidR="00202ADA" w:rsidRPr="00202ADA">
        <w:rPr>
          <w:rFonts w:asciiTheme="minorHAnsi" w:hAnsiTheme="minorHAnsi"/>
          <w:sz w:val="22"/>
          <w:szCs w:val="22"/>
          <w:lang w:eastAsia="en-GB" w:bidi="he-IL"/>
          <w14:ligatures w14:val="none"/>
        </w:rPr>
        <w:t>, and Lump Sum contract models.</w:t>
      </w:r>
    </w:p>
    <w:p w14:paraId="53027030" w14:textId="77777777" w:rsidR="00202ADA" w:rsidRPr="00202ADA" w:rsidRDefault="00202ADA" w:rsidP="00202ADA">
      <w:pPr>
        <w:pStyle w:val="ListParagraph"/>
        <w:numPr>
          <w:ilvl w:val="0"/>
          <w:numId w:val="29"/>
        </w:numPr>
        <w:rPr>
          <w:rFonts w:asciiTheme="minorHAnsi" w:hAnsiTheme="minorHAnsi"/>
          <w:sz w:val="22"/>
          <w:szCs w:val="22"/>
          <w:lang w:eastAsia="en-GB" w:bidi="he-IL"/>
          <w14:ligatures w14:val="none"/>
        </w:rPr>
      </w:pPr>
      <w:r w:rsidRPr="00202ADA">
        <w:rPr>
          <w:rFonts w:asciiTheme="minorHAnsi" w:hAnsiTheme="minorHAnsi"/>
          <w:b/>
          <w:bCs/>
          <w:sz w:val="22"/>
          <w:szCs w:val="22"/>
          <w:lang w:eastAsia="en-GB" w:bidi="he-IL"/>
          <w14:ligatures w14:val="none"/>
        </w:rPr>
        <w:t>Fee Per Day template</w:t>
      </w:r>
      <w:r w:rsidRPr="00202ADA">
        <w:rPr>
          <w:rFonts w:asciiTheme="minorHAnsi" w:hAnsiTheme="minorHAnsi"/>
          <w:sz w:val="22"/>
          <w:szCs w:val="22"/>
          <w:lang w:eastAsia="en-GB" w:bidi="he-IL"/>
          <w14:ligatures w14:val="none"/>
        </w:rPr>
        <w:t>: Include cost line items and detailed pricing guidance.</w:t>
      </w:r>
    </w:p>
    <w:p w14:paraId="1F96CC10" w14:textId="77777777" w:rsidR="00202ADA" w:rsidRPr="00202ADA" w:rsidRDefault="00202ADA" w:rsidP="00202ADA">
      <w:pPr>
        <w:pStyle w:val="ListParagraph"/>
        <w:numPr>
          <w:ilvl w:val="0"/>
          <w:numId w:val="29"/>
        </w:numPr>
        <w:rPr>
          <w:rFonts w:asciiTheme="minorHAnsi" w:hAnsiTheme="minorHAnsi"/>
          <w:sz w:val="22"/>
          <w:szCs w:val="22"/>
          <w:lang w:eastAsia="en-GB" w:bidi="he-IL"/>
          <w14:ligatures w14:val="none"/>
        </w:rPr>
      </w:pPr>
      <w:proofErr w:type="spellStart"/>
      <w:r w:rsidRPr="00202ADA">
        <w:rPr>
          <w:rFonts w:asciiTheme="minorHAnsi" w:hAnsiTheme="minorHAnsi"/>
          <w:b/>
          <w:bCs/>
          <w:sz w:val="22"/>
          <w:szCs w:val="22"/>
          <w:lang w:eastAsia="en-GB" w:bidi="he-IL"/>
          <w14:ligatures w14:val="none"/>
        </w:rPr>
        <w:t>PbR</w:t>
      </w:r>
      <w:proofErr w:type="spellEnd"/>
      <w:r w:rsidRPr="00202ADA">
        <w:rPr>
          <w:rFonts w:asciiTheme="minorHAnsi" w:hAnsiTheme="minorHAnsi"/>
          <w:b/>
          <w:bCs/>
          <w:sz w:val="22"/>
          <w:szCs w:val="22"/>
          <w:lang w:eastAsia="en-GB" w:bidi="he-IL"/>
          <w14:ligatures w14:val="none"/>
        </w:rPr>
        <w:t xml:space="preserve"> structure template</w:t>
      </w:r>
      <w:r w:rsidRPr="00202ADA">
        <w:rPr>
          <w:rFonts w:asciiTheme="minorHAnsi" w:hAnsiTheme="minorHAnsi"/>
          <w:sz w:val="22"/>
          <w:szCs w:val="22"/>
          <w:lang w:eastAsia="en-GB" w:bidi="he-IL"/>
          <w14:ligatures w14:val="none"/>
        </w:rPr>
        <w:t>: Provide clear pricing guidance aligned with performance-based outcomes.</w:t>
      </w:r>
    </w:p>
    <w:p w14:paraId="771F477E" w14:textId="77777777" w:rsidR="00202ADA" w:rsidRDefault="00202ADA" w:rsidP="00202ADA">
      <w:pPr>
        <w:pStyle w:val="ListParagraph"/>
        <w:numPr>
          <w:ilvl w:val="0"/>
          <w:numId w:val="29"/>
        </w:numPr>
        <w:rPr>
          <w:rFonts w:asciiTheme="minorHAnsi" w:hAnsiTheme="minorHAnsi"/>
          <w:sz w:val="22"/>
          <w:szCs w:val="22"/>
          <w:lang w:eastAsia="en-GB" w:bidi="he-IL"/>
          <w14:ligatures w14:val="none"/>
        </w:rPr>
      </w:pPr>
      <w:r w:rsidRPr="00202ADA">
        <w:rPr>
          <w:rFonts w:asciiTheme="minorHAnsi" w:hAnsiTheme="minorHAnsi"/>
          <w:b/>
          <w:bCs/>
          <w:sz w:val="22"/>
          <w:szCs w:val="22"/>
          <w:lang w:eastAsia="en-GB" w:bidi="he-IL"/>
          <w14:ligatures w14:val="none"/>
        </w:rPr>
        <w:t>Lump Sum structure template</w:t>
      </w:r>
      <w:r w:rsidRPr="00202ADA">
        <w:rPr>
          <w:rFonts w:asciiTheme="minorHAnsi" w:hAnsiTheme="minorHAnsi"/>
          <w:sz w:val="22"/>
          <w:szCs w:val="22"/>
          <w:lang w:eastAsia="en-GB" w:bidi="he-IL"/>
          <w14:ligatures w14:val="none"/>
        </w:rPr>
        <w:t>: Outline pricing guidance for fixed-price contracts with detailed cost breakdowns.</w:t>
      </w:r>
    </w:p>
    <w:p w14:paraId="78853985" w14:textId="3232AA2F" w:rsidR="00202ADA" w:rsidRPr="00DA694D" w:rsidRDefault="00E6147E" w:rsidP="00DA694D">
      <w:pPr>
        <w:pStyle w:val="ListParagraph"/>
        <w:numPr>
          <w:ilvl w:val="0"/>
          <w:numId w:val="30"/>
        </w:numPr>
        <w:rPr>
          <w:rFonts w:asciiTheme="minorHAnsi" w:hAnsiTheme="minorHAnsi"/>
          <w:sz w:val="22"/>
          <w:szCs w:val="22"/>
          <w:lang w:eastAsia="en-GB" w:bidi="he-IL"/>
          <w14:ligatures w14:val="none"/>
        </w:rPr>
      </w:pPr>
      <w:r w:rsidRPr="000A71EB">
        <w:rPr>
          <w:rFonts w:asciiTheme="minorHAnsi" w:hAnsiTheme="minorHAnsi"/>
          <w:b/>
          <w:bCs/>
          <w:sz w:val="22"/>
          <w:szCs w:val="22"/>
          <w:lang w:eastAsia="en-GB" w:bidi="he-IL"/>
          <w14:ligatures w14:val="none"/>
        </w:rPr>
        <w:t>Toolkit</w:t>
      </w:r>
      <w:r w:rsidRPr="000A71EB">
        <w:rPr>
          <w:rFonts w:asciiTheme="minorHAnsi" w:hAnsiTheme="minorHAnsi"/>
          <w:sz w:val="22"/>
          <w:szCs w:val="22"/>
          <w:lang w:eastAsia="en-GB" w:bidi="he-IL"/>
          <w14:ligatures w14:val="none"/>
        </w:rPr>
        <w:t>: A collection of standardized budget templates, cost breakdowns</w:t>
      </w:r>
      <w:r>
        <w:rPr>
          <w:rFonts w:asciiTheme="minorHAnsi" w:hAnsiTheme="minorHAnsi"/>
          <w:sz w:val="22"/>
          <w:szCs w:val="22"/>
          <w:lang w:eastAsia="en-GB" w:bidi="he-IL"/>
          <w14:ligatures w14:val="none"/>
        </w:rPr>
        <w:t xml:space="preserve"> </w:t>
      </w:r>
      <w:r w:rsidRPr="000A71EB">
        <w:rPr>
          <w:rFonts w:asciiTheme="minorHAnsi" w:hAnsiTheme="minorHAnsi"/>
          <w:sz w:val="22"/>
          <w:szCs w:val="22"/>
          <w:lang w:eastAsia="en-GB" w:bidi="he-IL"/>
          <w14:ligatures w14:val="none"/>
        </w:rPr>
        <w:t>to streamline the development of commercial proposals</w:t>
      </w:r>
      <w:r>
        <w:rPr>
          <w:rFonts w:asciiTheme="minorHAnsi" w:hAnsiTheme="minorHAnsi"/>
          <w:sz w:val="22"/>
          <w:szCs w:val="22"/>
          <w:lang w:eastAsia="en-GB" w:bidi="he-IL"/>
          <w14:ligatures w14:val="none"/>
        </w:rPr>
        <w:t xml:space="preserve"> including FCDO and WB </w:t>
      </w:r>
      <w:r w:rsidRPr="000A71EB">
        <w:rPr>
          <w:rFonts w:asciiTheme="minorHAnsi" w:hAnsiTheme="minorHAnsi"/>
          <w:sz w:val="22"/>
          <w:szCs w:val="22"/>
          <w:lang w:eastAsia="en-GB" w:bidi="he-IL"/>
          <w14:ligatures w14:val="none"/>
        </w:rPr>
        <w:t>donor-specific requirements</w:t>
      </w:r>
    </w:p>
    <w:p w14:paraId="68C41874" w14:textId="77777777" w:rsidR="000A71EB" w:rsidRPr="000A71EB" w:rsidRDefault="000A71EB" w:rsidP="000A71EB">
      <w:pPr>
        <w:rPr>
          <w:rFonts w:asciiTheme="minorHAnsi" w:hAnsiTheme="minorHAnsi"/>
          <w:sz w:val="22"/>
          <w:szCs w:val="22"/>
          <w:lang w:eastAsia="en-GB" w:bidi="he-IL"/>
          <w14:ligatures w14:val="none"/>
        </w:rPr>
      </w:pPr>
    </w:p>
    <w:p w14:paraId="41CA6767" w14:textId="714AD4CB" w:rsidR="000A71EB" w:rsidRPr="00DA694D" w:rsidRDefault="000A71EB" w:rsidP="00DA694D">
      <w:pPr>
        <w:pStyle w:val="ListParagraph"/>
        <w:numPr>
          <w:ilvl w:val="0"/>
          <w:numId w:val="22"/>
        </w:numPr>
        <w:rPr>
          <w:rFonts w:asciiTheme="minorHAnsi" w:hAnsiTheme="minorHAnsi"/>
          <w:b/>
          <w:bCs/>
          <w:sz w:val="22"/>
          <w:szCs w:val="22"/>
          <w:lang w:eastAsia="en-GB" w:bidi="he-IL"/>
          <w14:ligatures w14:val="none"/>
        </w:rPr>
      </w:pPr>
      <w:r w:rsidRPr="00DA694D">
        <w:rPr>
          <w:rFonts w:asciiTheme="minorHAnsi" w:hAnsiTheme="minorHAnsi"/>
          <w:b/>
          <w:bCs/>
          <w:sz w:val="22"/>
          <w:szCs w:val="22"/>
          <w:lang w:eastAsia="en-GB" w:bidi="he-IL"/>
          <w14:ligatures w14:val="none"/>
        </w:rPr>
        <w:t xml:space="preserve"> Pricing SOPs</w:t>
      </w:r>
    </w:p>
    <w:p w14:paraId="0CEDA5CD" w14:textId="77777777" w:rsidR="000A71EB" w:rsidRPr="000A71EB" w:rsidRDefault="000A71EB" w:rsidP="000A71EB">
      <w:pPr>
        <w:pStyle w:val="ListParagraph"/>
        <w:rPr>
          <w:rFonts w:asciiTheme="minorHAnsi" w:hAnsiTheme="minorHAnsi"/>
          <w:sz w:val="22"/>
          <w:szCs w:val="22"/>
          <w:lang w:eastAsia="en-GB" w:bidi="he-IL"/>
          <w14:ligatures w14:val="none"/>
        </w:rPr>
      </w:pPr>
      <w:r w:rsidRPr="000A71EB">
        <w:rPr>
          <w:rFonts w:asciiTheme="minorHAnsi" w:hAnsiTheme="minorHAnsi"/>
          <w:sz w:val="22"/>
          <w:szCs w:val="22"/>
          <w:lang w:eastAsia="en-GB" w:bidi="he-IL"/>
          <w14:ligatures w14:val="none"/>
        </w:rPr>
        <w:t>A comprehensive document outlining strategies for competitive pricing and cost presentation in commercial proposals, including the following components:</w:t>
      </w:r>
    </w:p>
    <w:p w14:paraId="7D9F4715" w14:textId="77777777" w:rsidR="00DA694D" w:rsidRPr="000A71EB" w:rsidRDefault="00E6147E" w:rsidP="00DA694D">
      <w:pPr>
        <w:pStyle w:val="ListParagraph"/>
        <w:numPr>
          <w:ilvl w:val="0"/>
          <w:numId w:val="30"/>
        </w:numPr>
        <w:rPr>
          <w:rFonts w:asciiTheme="minorHAnsi" w:hAnsiTheme="minorHAnsi"/>
          <w:sz w:val="22"/>
          <w:szCs w:val="22"/>
          <w:lang w:eastAsia="en-GB" w:bidi="he-IL"/>
          <w14:ligatures w14:val="none"/>
        </w:rPr>
      </w:pPr>
      <w:r>
        <w:rPr>
          <w:rFonts w:asciiTheme="minorHAnsi" w:hAnsiTheme="minorHAnsi"/>
          <w:b/>
          <w:bCs/>
          <w:sz w:val="22"/>
          <w:szCs w:val="22"/>
          <w:lang w:eastAsia="en-GB" w:bidi="he-IL"/>
          <w14:ligatures w14:val="none"/>
        </w:rPr>
        <w:t xml:space="preserve">SOPs </w:t>
      </w:r>
      <w:r w:rsidR="000A71EB" w:rsidRPr="000A71EB">
        <w:rPr>
          <w:rFonts w:asciiTheme="minorHAnsi" w:hAnsiTheme="minorHAnsi"/>
          <w:b/>
          <w:bCs/>
          <w:sz w:val="22"/>
          <w:szCs w:val="22"/>
          <w:lang w:eastAsia="en-GB" w:bidi="he-IL"/>
          <w14:ligatures w14:val="none"/>
        </w:rPr>
        <w:t>Guidelines for Pricing Each Contract Model</w:t>
      </w:r>
      <w:r w:rsidR="000A71EB" w:rsidRPr="000A71EB">
        <w:rPr>
          <w:rFonts w:asciiTheme="minorHAnsi" w:hAnsiTheme="minorHAnsi"/>
          <w:sz w:val="22"/>
          <w:szCs w:val="22"/>
          <w:lang w:eastAsia="en-GB" w:bidi="he-IL"/>
          <w14:ligatures w14:val="none"/>
        </w:rPr>
        <w:t xml:space="preserve">: </w:t>
      </w:r>
      <w:r w:rsidR="00DA694D" w:rsidRPr="000A71EB">
        <w:rPr>
          <w:rFonts w:asciiTheme="minorHAnsi" w:hAnsiTheme="minorHAnsi"/>
          <w:sz w:val="22"/>
          <w:szCs w:val="22"/>
          <w:lang w:eastAsia="en-GB" w:bidi="he-IL"/>
          <w14:ligatures w14:val="none"/>
        </w:rPr>
        <w:t>Step-by-step instructions on how to apply each pricing model, with specific guidance tailored to FCDO and World Bank contracts, addressing unique financial and regulatory requirements.</w:t>
      </w:r>
    </w:p>
    <w:p w14:paraId="39E1C841" w14:textId="31E5C748" w:rsidR="000A71EB" w:rsidRPr="00B81000" w:rsidRDefault="00141BD2" w:rsidP="7B01EA65">
      <w:pPr>
        <w:pStyle w:val="ListParagraph"/>
        <w:numPr>
          <w:ilvl w:val="0"/>
          <w:numId w:val="30"/>
        </w:numPr>
        <w:rPr>
          <w:rFonts w:asciiTheme="minorHAnsi" w:hAnsiTheme="minorHAnsi"/>
          <w:sz w:val="22"/>
          <w:szCs w:val="22"/>
          <w:lang w:eastAsia="en-GB" w:bidi="he-IL"/>
          <w14:ligatures w14:val="none"/>
        </w:rPr>
      </w:pPr>
      <w:r w:rsidRPr="00B81000">
        <w:rPr>
          <w:rFonts w:asciiTheme="minorHAnsi" w:hAnsiTheme="minorHAnsi"/>
          <w:b/>
          <w:bCs/>
          <w:sz w:val="22"/>
          <w:szCs w:val="22"/>
          <w:lang w:eastAsia="en-GB" w:bidi="he-IL"/>
          <w14:ligatures w14:val="none"/>
        </w:rPr>
        <w:t xml:space="preserve">A </w:t>
      </w:r>
      <w:r w:rsidR="000A71EB" w:rsidRPr="00B81000">
        <w:rPr>
          <w:rFonts w:asciiTheme="minorHAnsi" w:hAnsiTheme="minorHAnsi"/>
          <w:b/>
          <w:bCs/>
          <w:sz w:val="22"/>
          <w:szCs w:val="22"/>
          <w:lang w:eastAsia="en-GB" w:bidi="he-IL"/>
          <w14:ligatures w14:val="none"/>
        </w:rPr>
        <w:t>Pricing Strategy Guide</w:t>
      </w:r>
      <w:r w:rsidR="000A71EB" w:rsidRPr="00B81000">
        <w:rPr>
          <w:rFonts w:asciiTheme="minorHAnsi" w:hAnsiTheme="minorHAnsi"/>
          <w:sz w:val="22"/>
          <w:szCs w:val="22"/>
          <w:lang w:eastAsia="en-GB" w:bidi="he-IL"/>
          <w14:ligatures w14:val="none"/>
        </w:rPr>
        <w:t xml:space="preserve">: </w:t>
      </w:r>
      <w:r w:rsidR="203B0E59" w:rsidRPr="00B81000">
        <w:rPr>
          <w:rFonts w:ascii="Aptos" w:eastAsia="Aptos" w:hAnsi="Aptos" w:cs="Aptos"/>
          <w:sz w:val="22"/>
          <w:szCs w:val="22"/>
        </w:rPr>
        <w:t xml:space="preserve">A high-level strategic guide considering </w:t>
      </w:r>
      <w:r w:rsidR="203B0E59" w:rsidRPr="00B81000">
        <w:rPr>
          <w:rFonts w:asciiTheme="minorHAnsi" w:hAnsiTheme="minorHAnsi"/>
          <w:sz w:val="22"/>
          <w:szCs w:val="22"/>
          <w:lang w:eastAsia="en-GB" w:bidi="he-IL"/>
        </w:rPr>
        <w:t>market analysis, competitive pricing trends, and donor expectations to ensure NRC’s proposals are competitive and financially sound. The guide should</w:t>
      </w:r>
      <w:r w:rsidR="203B0E59" w:rsidRPr="00B81000">
        <w:rPr>
          <w:rFonts w:ascii="Aptos" w:eastAsia="Aptos" w:hAnsi="Aptos" w:cs="Aptos"/>
          <w:sz w:val="22"/>
          <w:szCs w:val="22"/>
        </w:rPr>
        <w:t xml:space="preserve"> include best practices for developing pricing strategies and detail methods for presenting budgets clearly and transparently</w:t>
      </w:r>
      <w:r w:rsidR="11E9C818" w:rsidRPr="00B81000">
        <w:rPr>
          <w:rFonts w:ascii="Aptos" w:eastAsia="Aptos" w:hAnsi="Aptos" w:cs="Aptos"/>
          <w:sz w:val="22"/>
          <w:szCs w:val="22"/>
        </w:rPr>
        <w:t xml:space="preserve">. This can </w:t>
      </w:r>
      <w:r w:rsidR="203B0E59" w:rsidRPr="00B81000">
        <w:rPr>
          <w:rFonts w:ascii="Aptos" w:eastAsia="Aptos" w:hAnsi="Aptos" w:cs="Aptos"/>
          <w:sz w:val="22"/>
          <w:szCs w:val="22"/>
        </w:rPr>
        <w:t>includ</w:t>
      </w:r>
      <w:r w:rsidR="6BAA9B68" w:rsidRPr="00B81000">
        <w:rPr>
          <w:rFonts w:ascii="Aptos" w:eastAsia="Aptos" w:hAnsi="Aptos" w:cs="Aptos"/>
          <w:sz w:val="22"/>
          <w:szCs w:val="22"/>
        </w:rPr>
        <w:t>e</w:t>
      </w:r>
      <w:r w:rsidR="203B0E59" w:rsidRPr="00B81000">
        <w:rPr>
          <w:rFonts w:ascii="Aptos" w:eastAsia="Aptos" w:hAnsi="Aptos" w:cs="Aptos"/>
          <w:sz w:val="22"/>
          <w:szCs w:val="22"/>
        </w:rPr>
        <w:t xml:space="preserve"> the use of donor-friendly templates, visual aids, and concise narrative justifications that effectively link costs to project outcomes. </w:t>
      </w:r>
      <w:r w:rsidR="1BBF4CF2" w:rsidRPr="00B81000">
        <w:rPr>
          <w:rFonts w:ascii="Aptos" w:eastAsia="Aptos" w:hAnsi="Aptos" w:cs="Aptos"/>
          <w:sz w:val="22"/>
          <w:szCs w:val="22"/>
        </w:rPr>
        <w:t>The guide</w:t>
      </w:r>
      <w:r w:rsidR="203B0E59" w:rsidRPr="00B81000">
        <w:rPr>
          <w:rFonts w:ascii="Aptos" w:eastAsia="Aptos" w:hAnsi="Aptos" w:cs="Aptos"/>
          <w:sz w:val="22"/>
          <w:szCs w:val="22"/>
        </w:rPr>
        <w:t xml:space="preserve"> should outline techniques for identifying and mitigating financial risks, highlight the importance of aligning pricing strategies with donor priorities,</w:t>
      </w:r>
      <w:r w:rsidR="08867AD1" w:rsidRPr="00B81000">
        <w:rPr>
          <w:rFonts w:ascii="Aptos" w:eastAsia="Aptos" w:hAnsi="Aptos" w:cs="Aptos"/>
          <w:sz w:val="22"/>
          <w:szCs w:val="22"/>
        </w:rPr>
        <w:t xml:space="preserve"> and the collaboration </w:t>
      </w:r>
      <w:r w:rsidR="203B0E59" w:rsidRPr="00B81000">
        <w:rPr>
          <w:rFonts w:ascii="Aptos" w:eastAsia="Aptos" w:hAnsi="Aptos" w:cs="Aptos"/>
          <w:sz w:val="22"/>
          <w:szCs w:val="22"/>
        </w:rPr>
        <w:t>between programmatic and financial teams</w:t>
      </w:r>
      <w:r w:rsidR="5F057897" w:rsidRPr="00B81000">
        <w:rPr>
          <w:rFonts w:ascii="Aptos" w:eastAsia="Aptos" w:hAnsi="Aptos" w:cs="Aptos"/>
          <w:sz w:val="22"/>
          <w:szCs w:val="22"/>
        </w:rPr>
        <w:t xml:space="preserve">. </w:t>
      </w:r>
    </w:p>
    <w:p w14:paraId="178FDD51" w14:textId="53E3A1C9" w:rsidR="000A71EB" w:rsidRPr="000A71EB" w:rsidRDefault="000A71EB" w:rsidP="7B01EA65">
      <w:pPr>
        <w:pStyle w:val="ListParagraph"/>
        <w:numPr>
          <w:ilvl w:val="0"/>
          <w:numId w:val="1"/>
        </w:numPr>
        <w:rPr>
          <w:rFonts w:asciiTheme="minorHAnsi" w:hAnsiTheme="minorHAnsi"/>
          <w:sz w:val="22"/>
          <w:szCs w:val="22"/>
          <w:lang w:eastAsia="en-GB" w:bidi="he-IL"/>
          <w14:ligatures w14:val="none"/>
        </w:rPr>
      </w:pPr>
      <w:r w:rsidRPr="7B01EA65">
        <w:rPr>
          <w:rFonts w:asciiTheme="minorHAnsi" w:hAnsiTheme="minorHAnsi"/>
          <w:b/>
          <w:bCs/>
          <w:sz w:val="22"/>
          <w:szCs w:val="22"/>
          <w:lang w:eastAsia="en-GB" w:bidi="he-IL"/>
          <w14:ligatures w14:val="none"/>
        </w:rPr>
        <w:t>FAQ or Troubleshooting Section</w:t>
      </w:r>
      <w:r w:rsidRPr="7B01EA65">
        <w:rPr>
          <w:rFonts w:asciiTheme="minorHAnsi" w:hAnsiTheme="minorHAnsi"/>
          <w:sz w:val="22"/>
          <w:szCs w:val="22"/>
          <w:lang w:eastAsia="en-GB" w:bidi="he-IL"/>
          <w14:ligatures w14:val="none"/>
        </w:rPr>
        <w:t>: A dedicated section addressing common pricing and cost presentation challenges, offering practical solutions and tips for overcoming potential obstacles in commercial contracting.</w:t>
      </w:r>
    </w:p>
    <w:p w14:paraId="5D3CB804" w14:textId="77777777" w:rsidR="00783E16" w:rsidRPr="006F7317" w:rsidRDefault="00783E16" w:rsidP="00783E16">
      <w:pPr>
        <w:pStyle w:val="ListParagraph"/>
        <w:spacing w:before="100" w:beforeAutospacing="1" w:after="100" w:afterAutospacing="1"/>
        <w:rPr>
          <w:rFonts w:asciiTheme="minorHAnsi" w:hAnsiTheme="minorHAnsi"/>
          <w:sz w:val="22"/>
          <w:szCs w:val="22"/>
          <w:lang w:eastAsia="en-GB" w:bidi="he-IL"/>
          <w14:ligatures w14:val="none"/>
        </w:rPr>
      </w:pPr>
    </w:p>
    <w:p w14:paraId="4245C5D2" w14:textId="77777777" w:rsidR="00591360" w:rsidRPr="00591360" w:rsidRDefault="00783E16" w:rsidP="00591360">
      <w:pPr>
        <w:pStyle w:val="ListParagraph"/>
        <w:numPr>
          <w:ilvl w:val="0"/>
          <w:numId w:val="22"/>
        </w:numPr>
        <w:spacing w:before="100" w:beforeAutospacing="1" w:after="100" w:afterAutospacing="1"/>
        <w:rPr>
          <w:rFonts w:asciiTheme="minorHAnsi" w:hAnsiTheme="minorHAnsi"/>
          <w:sz w:val="22"/>
          <w:szCs w:val="22"/>
          <w:lang w:eastAsia="en-GB" w:bidi="he-IL"/>
          <w14:ligatures w14:val="none"/>
        </w:rPr>
      </w:pPr>
      <w:r w:rsidRPr="006F7317">
        <w:rPr>
          <w:rFonts w:asciiTheme="minorHAnsi" w:hAnsiTheme="minorHAnsi"/>
          <w:b/>
          <w:bCs/>
          <w:sz w:val="22"/>
          <w:szCs w:val="22"/>
          <w:lang w:eastAsia="en-GB" w:bidi="he-IL"/>
          <w14:ligatures w14:val="none"/>
        </w:rPr>
        <w:t>T</w:t>
      </w:r>
      <w:r w:rsidR="001E3598" w:rsidRPr="006F7317">
        <w:rPr>
          <w:rFonts w:asciiTheme="minorHAnsi" w:hAnsiTheme="minorHAnsi"/>
          <w:b/>
          <w:bCs/>
          <w:sz w:val="22"/>
          <w:szCs w:val="22"/>
          <w:lang w:eastAsia="en-GB" w:bidi="he-IL"/>
          <w14:ligatures w14:val="none"/>
        </w:rPr>
        <w:t>ax Compliance Framework:</w:t>
      </w:r>
      <w:r w:rsidR="001E3598" w:rsidRPr="006F7317">
        <w:rPr>
          <w:rFonts w:asciiTheme="minorHAnsi" w:hAnsiTheme="minorHAnsi"/>
          <w:sz w:val="22"/>
          <w:szCs w:val="22"/>
          <w:lang w:eastAsia="en-GB" w:bidi="he-IL"/>
          <w14:ligatures w14:val="none"/>
        </w:rPr>
        <w:br/>
      </w:r>
      <w:r w:rsidR="00591360" w:rsidRPr="00591360">
        <w:rPr>
          <w:rFonts w:asciiTheme="minorHAnsi" w:hAnsiTheme="minorHAnsi"/>
          <w:sz w:val="22"/>
          <w:szCs w:val="22"/>
          <w:lang w:eastAsia="en-GB" w:bidi="he-IL"/>
          <w14:ligatures w14:val="none"/>
        </w:rPr>
        <w:t>A high-level guide on tax compliance, covering key tax considerations such as tax coding, VAT, and profit taxes, including the following elements:</w:t>
      </w:r>
    </w:p>
    <w:p w14:paraId="09C2E694" w14:textId="7ECCDC94" w:rsidR="00591360" w:rsidRPr="00591360" w:rsidRDefault="00591360" w:rsidP="00591360">
      <w:pPr>
        <w:pStyle w:val="ListParagraph"/>
        <w:numPr>
          <w:ilvl w:val="0"/>
          <w:numId w:val="32"/>
        </w:numPr>
        <w:rPr>
          <w:rFonts w:asciiTheme="minorHAnsi" w:hAnsiTheme="minorHAnsi"/>
          <w:sz w:val="22"/>
          <w:szCs w:val="22"/>
          <w:lang w:eastAsia="en-GB" w:bidi="he-IL"/>
          <w14:ligatures w14:val="none"/>
        </w:rPr>
      </w:pPr>
      <w:r w:rsidRPr="00591360">
        <w:rPr>
          <w:rFonts w:asciiTheme="minorHAnsi" w:hAnsiTheme="minorHAnsi"/>
          <w:b/>
          <w:bCs/>
          <w:sz w:val="22"/>
          <w:szCs w:val="22"/>
          <w:lang w:eastAsia="en-GB" w:bidi="he-IL"/>
          <w14:ligatures w14:val="none"/>
        </w:rPr>
        <w:t>Checklist for Tax Considerations by Contract Structure</w:t>
      </w:r>
      <w:r w:rsidRPr="00591360">
        <w:rPr>
          <w:rFonts w:asciiTheme="minorHAnsi" w:hAnsiTheme="minorHAnsi"/>
          <w:sz w:val="22"/>
          <w:szCs w:val="22"/>
          <w:lang w:eastAsia="en-GB" w:bidi="he-IL"/>
          <w14:ligatures w14:val="none"/>
        </w:rPr>
        <w:t xml:space="preserve">: A detailed checklist to ensure all tax obligations are addressed </w:t>
      </w:r>
      <w:r>
        <w:rPr>
          <w:rFonts w:asciiTheme="minorHAnsi" w:hAnsiTheme="minorHAnsi"/>
          <w:sz w:val="22"/>
          <w:szCs w:val="22"/>
          <w:lang w:eastAsia="en-GB" w:bidi="he-IL"/>
          <w14:ligatures w14:val="none"/>
        </w:rPr>
        <w:t>across all</w:t>
      </w:r>
      <w:r w:rsidRPr="00591360">
        <w:rPr>
          <w:rFonts w:asciiTheme="minorHAnsi" w:hAnsiTheme="minorHAnsi"/>
          <w:sz w:val="22"/>
          <w:szCs w:val="22"/>
          <w:lang w:eastAsia="en-GB" w:bidi="he-IL"/>
          <w14:ligatures w14:val="none"/>
        </w:rPr>
        <w:t xml:space="preserve"> different contract types</w:t>
      </w:r>
      <w:r>
        <w:rPr>
          <w:rFonts w:asciiTheme="minorHAnsi" w:hAnsiTheme="minorHAnsi"/>
          <w:sz w:val="22"/>
          <w:szCs w:val="22"/>
          <w:lang w:eastAsia="en-GB" w:bidi="he-IL"/>
          <w14:ligatures w14:val="none"/>
        </w:rPr>
        <w:t xml:space="preserve">. </w:t>
      </w:r>
    </w:p>
    <w:p w14:paraId="151474B7" w14:textId="77777777" w:rsidR="00591360" w:rsidRPr="00591360" w:rsidRDefault="00591360" w:rsidP="00591360">
      <w:pPr>
        <w:pStyle w:val="ListParagraph"/>
        <w:numPr>
          <w:ilvl w:val="0"/>
          <w:numId w:val="32"/>
        </w:numPr>
        <w:rPr>
          <w:rFonts w:asciiTheme="minorHAnsi" w:hAnsiTheme="minorHAnsi"/>
          <w:sz w:val="22"/>
          <w:szCs w:val="22"/>
          <w:lang w:eastAsia="en-GB" w:bidi="he-IL"/>
          <w14:ligatures w14:val="none"/>
        </w:rPr>
      </w:pPr>
      <w:r w:rsidRPr="00591360">
        <w:rPr>
          <w:rFonts w:asciiTheme="minorHAnsi" w:hAnsiTheme="minorHAnsi"/>
          <w:b/>
          <w:bCs/>
          <w:sz w:val="22"/>
          <w:szCs w:val="22"/>
          <w:lang w:eastAsia="en-GB" w:bidi="he-IL"/>
          <w14:ligatures w14:val="none"/>
        </w:rPr>
        <w:t>Guidance on VAT, Tax-Exempt Scenarios, and Profit-Related Taxes</w:t>
      </w:r>
      <w:r w:rsidRPr="00591360">
        <w:rPr>
          <w:rFonts w:asciiTheme="minorHAnsi" w:hAnsiTheme="minorHAnsi"/>
          <w:sz w:val="22"/>
          <w:szCs w:val="22"/>
          <w:lang w:eastAsia="en-GB" w:bidi="he-IL"/>
          <w14:ligatures w14:val="none"/>
        </w:rPr>
        <w:t>: Clear instructions on the application of VAT, handling tax-exempt scenarios, and addressing profit-related taxes for both domestic and international contracts.</w:t>
      </w:r>
    </w:p>
    <w:p w14:paraId="4CCE45C1" w14:textId="77777777" w:rsidR="00591360" w:rsidRPr="00591360" w:rsidRDefault="00591360" w:rsidP="00591360">
      <w:pPr>
        <w:pStyle w:val="ListParagraph"/>
        <w:numPr>
          <w:ilvl w:val="0"/>
          <w:numId w:val="32"/>
        </w:numPr>
        <w:rPr>
          <w:rFonts w:asciiTheme="minorHAnsi" w:hAnsiTheme="minorHAnsi"/>
          <w:sz w:val="22"/>
          <w:szCs w:val="22"/>
          <w:lang w:eastAsia="en-GB" w:bidi="he-IL"/>
          <w14:ligatures w14:val="none"/>
        </w:rPr>
      </w:pPr>
      <w:r w:rsidRPr="00591360">
        <w:rPr>
          <w:rFonts w:asciiTheme="minorHAnsi" w:hAnsiTheme="minorHAnsi"/>
          <w:b/>
          <w:bCs/>
          <w:sz w:val="22"/>
          <w:szCs w:val="22"/>
          <w:lang w:eastAsia="en-GB" w:bidi="he-IL"/>
          <w14:ligatures w14:val="none"/>
        </w:rPr>
        <w:t>Tax Coding Strategies for Commercial Contracts</w:t>
      </w:r>
      <w:r w:rsidRPr="00591360">
        <w:rPr>
          <w:rFonts w:asciiTheme="minorHAnsi" w:hAnsiTheme="minorHAnsi"/>
          <w:sz w:val="22"/>
          <w:szCs w:val="22"/>
          <w:lang w:eastAsia="en-GB" w:bidi="he-IL"/>
          <w14:ligatures w14:val="none"/>
        </w:rPr>
        <w:t>: Best practices for coding taxes appropriately within commercial contracts, ensuring alignment with applicable tax laws and donor requirements.</w:t>
      </w:r>
    </w:p>
    <w:p w14:paraId="764530DF" w14:textId="77777777" w:rsidR="00D93CAB" w:rsidRDefault="00D93CAB" w:rsidP="00D93CAB">
      <w:pPr>
        <w:pStyle w:val="ListParagraph"/>
        <w:spacing w:before="100" w:beforeAutospacing="1" w:after="100" w:afterAutospacing="1"/>
        <w:rPr>
          <w:rFonts w:asciiTheme="minorHAnsi" w:hAnsiTheme="minorHAnsi"/>
          <w:sz w:val="22"/>
          <w:szCs w:val="22"/>
          <w:lang w:eastAsia="en-GB" w:bidi="he-IL"/>
          <w14:ligatures w14:val="none"/>
        </w:rPr>
      </w:pPr>
    </w:p>
    <w:p w14:paraId="1602749A" w14:textId="4E451BBD" w:rsidR="0020114B" w:rsidRPr="00B81000" w:rsidRDefault="001E3598" w:rsidP="7B01EA65">
      <w:pPr>
        <w:pStyle w:val="ListParagraph"/>
        <w:numPr>
          <w:ilvl w:val="0"/>
          <w:numId w:val="22"/>
        </w:numPr>
        <w:spacing w:before="100" w:beforeAutospacing="1" w:after="100" w:afterAutospacing="1"/>
        <w:rPr>
          <w:rFonts w:asciiTheme="minorHAnsi" w:hAnsiTheme="minorHAnsi"/>
          <w:sz w:val="22"/>
          <w:szCs w:val="22"/>
          <w:lang w:eastAsia="en-GB" w:bidi="he-IL"/>
          <w14:ligatures w14:val="none"/>
        </w:rPr>
      </w:pPr>
      <w:r w:rsidRPr="00B81000">
        <w:rPr>
          <w:rFonts w:asciiTheme="minorHAnsi" w:hAnsiTheme="minorHAnsi"/>
          <w:b/>
          <w:bCs/>
          <w:sz w:val="22"/>
          <w:szCs w:val="22"/>
          <w:lang w:eastAsia="en-GB" w:bidi="he-IL"/>
          <w14:ligatures w14:val="none"/>
        </w:rPr>
        <w:t>Training Materials:</w:t>
      </w:r>
      <w:r w:rsidR="00D93CAB" w:rsidRPr="00B81000">
        <w:rPr>
          <w:rFonts w:asciiTheme="minorHAnsi" w:hAnsiTheme="minorHAnsi"/>
          <w:b/>
          <w:bCs/>
          <w:sz w:val="22"/>
          <w:szCs w:val="22"/>
          <w:lang w:eastAsia="en-GB" w:bidi="he-IL"/>
          <w14:ligatures w14:val="none"/>
        </w:rPr>
        <w:t xml:space="preserve"> </w:t>
      </w:r>
    </w:p>
    <w:p w14:paraId="6079EA23" w14:textId="24FB4F7C" w:rsidR="00754266" w:rsidRPr="00B81000" w:rsidRDefault="00B92E50" w:rsidP="7B01EA65">
      <w:pPr>
        <w:pStyle w:val="ListParagraph"/>
        <w:numPr>
          <w:ilvl w:val="0"/>
          <w:numId w:val="36"/>
        </w:numPr>
        <w:spacing w:before="100" w:beforeAutospacing="1" w:after="100" w:afterAutospacing="1"/>
        <w:ind w:left="1080"/>
        <w:rPr>
          <w:rFonts w:asciiTheme="minorHAnsi" w:hAnsiTheme="minorHAnsi"/>
          <w:sz w:val="22"/>
          <w:szCs w:val="22"/>
          <w:lang w:eastAsia="en-GB" w:bidi="he-IL"/>
          <w14:ligatures w14:val="none"/>
        </w:rPr>
      </w:pPr>
      <w:r w:rsidRPr="00B81000">
        <w:rPr>
          <w:rFonts w:asciiTheme="minorHAnsi" w:hAnsiTheme="minorHAnsi"/>
          <w:b/>
          <w:bCs/>
          <w:sz w:val="22"/>
          <w:szCs w:val="22"/>
          <w:lang w:eastAsia="en-GB" w:bidi="he-IL"/>
          <w14:ligatures w14:val="none"/>
        </w:rPr>
        <w:t xml:space="preserve">Development of a </w:t>
      </w:r>
      <w:r w:rsidR="00754266" w:rsidRPr="00B81000">
        <w:rPr>
          <w:rFonts w:asciiTheme="minorHAnsi" w:hAnsiTheme="minorHAnsi"/>
          <w:b/>
          <w:bCs/>
          <w:sz w:val="22"/>
          <w:szCs w:val="22"/>
          <w:lang w:eastAsia="en-GB" w:bidi="he-IL"/>
          <w14:ligatures w14:val="none"/>
        </w:rPr>
        <w:t xml:space="preserve">Training </w:t>
      </w:r>
      <w:proofErr w:type="gramStart"/>
      <w:r w:rsidRPr="00B81000">
        <w:rPr>
          <w:rFonts w:asciiTheme="minorHAnsi" w:hAnsiTheme="minorHAnsi"/>
          <w:b/>
          <w:bCs/>
          <w:sz w:val="22"/>
          <w:szCs w:val="22"/>
          <w:lang w:eastAsia="en-GB" w:bidi="he-IL"/>
          <w14:ligatures w14:val="none"/>
        </w:rPr>
        <w:t xml:space="preserve">Module </w:t>
      </w:r>
      <w:r w:rsidR="0064294B" w:rsidRPr="00B81000">
        <w:rPr>
          <w:rFonts w:asciiTheme="minorHAnsi" w:hAnsiTheme="minorHAnsi"/>
          <w:b/>
          <w:bCs/>
          <w:sz w:val="22"/>
          <w:szCs w:val="22"/>
          <w:lang w:eastAsia="en-GB" w:bidi="he-IL"/>
          <w14:ligatures w14:val="none"/>
        </w:rPr>
        <w:t>:</w:t>
      </w:r>
      <w:proofErr w:type="gramEnd"/>
      <w:r w:rsidR="0064294B" w:rsidRPr="00B81000">
        <w:rPr>
          <w:rFonts w:asciiTheme="minorHAnsi" w:hAnsiTheme="minorHAnsi"/>
          <w:b/>
          <w:bCs/>
          <w:sz w:val="22"/>
          <w:szCs w:val="22"/>
          <w:lang w:eastAsia="en-GB" w:bidi="he-IL"/>
          <w14:ligatures w14:val="none"/>
        </w:rPr>
        <w:t xml:space="preserve"> </w:t>
      </w:r>
      <w:r w:rsidR="00754266" w:rsidRPr="00B81000">
        <w:rPr>
          <w:rFonts w:asciiTheme="minorHAnsi" w:hAnsiTheme="minorHAnsi"/>
          <w:sz w:val="22"/>
          <w:szCs w:val="22"/>
          <w:lang w:eastAsia="en-GB" w:bidi="he-IL"/>
          <w14:ligatures w14:val="none"/>
        </w:rPr>
        <w:t>A training module</w:t>
      </w:r>
      <w:r w:rsidR="7D37412C" w:rsidRPr="00B81000">
        <w:rPr>
          <w:rFonts w:asciiTheme="minorHAnsi" w:hAnsiTheme="minorHAnsi"/>
          <w:sz w:val="22"/>
          <w:szCs w:val="22"/>
          <w:lang w:eastAsia="en-GB" w:bidi="he-IL"/>
          <w14:ligatures w14:val="none"/>
        </w:rPr>
        <w:t>,</w:t>
      </w:r>
      <w:r w:rsidR="00754266" w:rsidRPr="00B81000">
        <w:rPr>
          <w:rFonts w:asciiTheme="minorHAnsi" w:hAnsiTheme="minorHAnsi"/>
          <w:sz w:val="22"/>
          <w:szCs w:val="22"/>
          <w:lang w:eastAsia="en-GB" w:bidi="he-IL"/>
          <w14:ligatures w14:val="none"/>
        </w:rPr>
        <w:t xml:space="preserve"> </w:t>
      </w:r>
      <w:r w:rsidR="3FDD49C0" w:rsidRPr="00B81000">
        <w:rPr>
          <w:rFonts w:asciiTheme="minorHAnsi" w:hAnsiTheme="minorHAnsi"/>
          <w:sz w:val="22"/>
          <w:szCs w:val="22"/>
          <w:lang w:eastAsia="en-GB" w:bidi="he-IL"/>
          <w14:ligatures w14:val="none"/>
        </w:rPr>
        <w:t>based on the SOPs</w:t>
      </w:r>
      <w:r w:rsidR="246DA59E" w:rsidRPr="00B81000">
        <w:rPr>
          <w:rFonts w:asciiTheme="minorHAnsi" w:hAnsiTheme="minorHAnsi"/>
          <w:sz w:val="22"/>
          <w:szCs w:val="22"/>
          <w:lang w:eastAsia="en-GB" w:bidi="he-IL"/>
          <w14:ligatures w14:val="none"/>
        </w:rPr>
        <w:t xml:space="preserve">, </w:t>
      </w:r>
      <w:r w:rsidR="00754266" w:rsidRPr="00B81000">
        <w:rPr>
          <w:rFonts w:asciiTheme="minorHAnsi" w:hAnsiTheme="minorHAnsi"/>
          <w:sz w:val="22"/>
          <w:szCs w:val="22"/>
          <w:lang w:eastAsia="en-GB" w:bidi="he-IL"/>
          <w14:ligatures w14:val="none"/>
        </w:rPr>
        <w:t>cover</w:t>
      </w:r>
      <w:r w:rsidR="0404207A" w:rsidRPr="00B81000">
        <w:rPr>
          <w:rFonts w:asciiTheme="minorHAnsi" w:hAnsiTheme="minorHAnsi"/>
          <w:sz w:val="22"/>
          <w:szCs w:val="22"/>
          <w:lang w:eastAsia="en-GB" w:bidi="he-IL"/>
          <w14:ligatures w14:val="none"/>
        </w:rPr>
        <w:t>ing</w:t>
      </w:r>
      <w:r w:rsidR="00754266" w:rsidRPr="00B81000">
        <w:rPr>
          <w:rFonts w:asciiTheme="minorHAnsi" w:hAnsiTheme="minorHAnsi"/>
          <w:sz w:val="22"/>
          <w:szCs w:val="22"/>
          <w:lang w:eastAsia="en-GB" w:bidi="he-IL"/>
          <w14:ligatures w14:val="none"/>
        </w:rPr>
        <w:t>:</w:t>
      </w:r>
    </w:p>
    <w:p w14:paraId="401834C7" w14:textId="77777777" w:rsidR="00754266" w:rsidRPr="00B81000" w:rsidRDefault="00754266" w:rsidP="00C031D0">
      <w:pPr>
        <w:pStyle w:val="ListParagraph"/>
        <w:numPr>
          <w:ilvl w:val="0"/>
          <w:numId w:val="37"/>
        </w:numPr>
        <w:rPr>
          <w:rFonts w:asciiTheme="minorHAnsi" w:hAnsiTheme="minorHAnsi"/>
          <w:sz w:val="22"/>
          <w:szCs w:val="22"/>
          <w:lang w:eastAsia="en-GB" w:bidi="he-IL"/>
          <w14:ligatures w14:val="none"/>
        </w:rPr>
      </w:pPr>
      <w:r w:rsidRPr="00B81000">
        <w:rPr>
          <w:rFonts w:asciiTheme="minorHAnsi" w:hAnsiTheme="minorHAnsi"/>
          <w:sz w:val="22"/>
          <w:szCs w:val="22"/>
          <w:lang w:eastAsia="en-GB" w:bidi="he-IL"/>
          <w14:ligatures w14:val="none"/>
        </w:rPr>
        <w:t>Best practices for developing competitive pricing strategies.</w:t>
      </w:r>
    </w:p>
    <w:p w14:paraId="7BAD9DFE" w14:textId="77777777" w:rsidR="00754266" w:rsidRPr="00B81000" w:rsidRDefault="00754266" w:rsidP="00C031D0">
      <w:pPr>
        <w:pStyle w:val="ListParagraph"/>
        <w:numPr>
          <w:ilvl w:val="0"/>
          <w:numId w:val="37"/>
        </w:numPr>
        <w:rPr>
          <w:rFonts w:asciiTheme="minorHAnsi" w:hAnsiTheme="minorHAnsi"/>
          <w:sz w:val="22"/>
          <w:szCs w:val="22"/>
          <w:lang w:eastAsia="en-GB" w:bidi="he-IL"/>
          <w14:ligatures w14:val="none"/>
        </w:rPr>
      </w:pPr>
      <w:r w:rsidRPr="00B81000">
        <w:rPr>
          <w:rFonts w:asciiTheme="minorHAnsi" w:hAnsiTheme="minorHAnsi"/>
          <w:sz w:val="22"/>
          <w:szCs w:val="22"/>
          <w:lang w:eastAsia="en-GB" w:bidi="he-IL"/>
          <w14:ligatures w14:val="none"/>
        </w:rPr>
        <w:t>Effective methods for presenting budgets clearly and transparently.</w:t>
      </w:r>
    </w:p>
    <w:p w14:paraId="4E930219" w14:textId="77777777" w:rsidR="00754266" w:rsidRPr="00B81000" w:rsidRDefault="00754266" w:rsidP="7B01EA65">
      <w:pPr>
        <w:pStyle w:val="ListParagraph"/>
        <w:numPr>
          <w:ilvl w:val="0"/>
          <w:numId w:val="37"/>
        </w:numPr>
        <w:rPr>
          <w:rFonts w:asciiTheme="minorHAnsi" w:hAnsiTheme="minorHAnsi"/>
          <w:sz w:val="22"/>
          <w:szCs w:val="22"/>
          <w:lang w:eastAsia="en-GB" w:bidi="he-IL"/>
          <w14:ligatures w14:val="none"/>
        </w:rPr>
      </w:pPr>
      <w:r w:rsidRPr="00B81000">
        <w:rPr>
          <w:rFonts w:asciiTheme="minorHAnsi" w:hAnsiTheme="minorHAnsi"/>
          <w:sz w:val="22"/>
          <w:szCs w:val="22"/>
          <w:lang w:eastAsia="en-GB" w:bidi="he-IL"/>
          <w14:ligatures w14:val="none"/>
        </w:rPr>
        <w:t>Techniques for identifying and managing financial risks in commercial proposals.</w:t>
      </w:r>
    </w:p>
    <w:p w14:paraId="522EBEB5" w14:textId="6D67A545" w:rsidR="002002A0" w:rsidRPr="006F7317" w:rsidRDefault="001E3598" w:rsidP="00783E16">
      <w:pPr>
        <w:pStyle w:val="ListParagraph"/>
        <w:numPr>
          <w:ilvl w:val="0"/>
          <w:numId w:val="22"/>
        </w:numPr>
        <w:spacing w:before="100" w:beforeAutospacing="1" w:after="100" w:afterAutospacing="1"/>
        <w:rPr>
          <w:rFonts w:asciiTheme="minorHAnsi" w:hAnsiTheme="minorHAnsi"/>
          <w:sz w:val="22"/>
          <w:szCs w:val="22"/>
          <w:lang w:eastAsia="en-GB" w:bidi="he-IL"/>
          <w14:ligatures w14:val="none"/>
        </w:rPr>
      </w:pPr>
      <w:r w:rsidRPr="006F7317">
        <w:rPr>
          <w:rFonts w:asciiTheme="minorHAnsi" w:hAnsiTheme="minorHAnsi"/>
          <w:b/>
          <w:bCs/>
          <w:sz w:val="22"/>
          <w:szCs w:val="22"/>
          <w:lang w:eastAsia="en-GB" w:bidi="he-IL"/>
          <w14:ligatures w14:val="none"/>
        </w:rPr>
        <w:t>Final Report:</w:t>
      </w:r>
      <w:r w:rsidRPr="006F7317">
        <w:rPr>
          <w:rFonts w:asciiTheme="minorHAnsi" w:hAnsiTheme="minorHAnsi"/>
          <w:sz w:val="22"/>
          <w:szCs w:val="22"/>
          <w:lang w:eastAsia="en-GB" w:bidi="he-IL"/>
          <w14:ligatures w14:val="none"/>
        </w:rPr>
        <w:br/>
        <w:t>A summary of the project’s objectives, methodology, and key recommendations for future improvements.</w:t>
      </w:r>
    </w:p>
    <w:p w14:paraId="74B5E956" w14:textId="1833AF16" w:rsidR="00517E91" w:rsidRPr="00E929C3" w:rsidRDefault="00517E91" w:rsidP="00E929C3">
      <w:pPr>
        <w:keepNext/>
        <w:keepLines/>
        <w:pBdr>
          <w:top w:val="single" w:sz="4" w:space="6" w:color="FF7602"/>
        </w:pBdr>
        <w:spacing w:before="240" w:line="259" w:lineRule="auto"/>
        <w:jc w:val="both"/>
        <w:outlineLvl w:val="0"/>
        <w:rPr>
          <w:rFonts w:asciiTheme="minorHAnsi" w:eastAsia="MS Gothic" w:hAnsiTheme="minorHAnsi" w:cstheme="minorBidi"/>
          <w:color w:val="FF7602"/>
          <w:sz w:val="28"/>
          <w:szCs w:val="28"/>
          <w:lang w:eastAsia="en-US"/>
        </w:rPr>
      </w:pPr>
      <w:r w:rsidRPr="77E2EAB7">
        <w:rPr>
          <w:rFonts w:asciiTheme="minorHAnsi" w:eastAsia="MS Gothic" w:hAnsiTheme="minorHAnsi" w:cstheme="minorBidi"/>
          <w:color w:val="FF7602"/>
          <w:sz w:val="28"/>
          <w:szCs w:val="28"/>
          <w:lang w:eastAsia="en-US"/>
        </w:rPr>
        <w:t>Timeline and management</w:t>
      </w:r>
    </w:p>
    <w:p w14:paraId="31468EE1" w14:textId="65FA6C55" w:rsidR="0094108E" w:rsidRPr="0094108E" w:rsidRDefault="0094108E" w:rsidP="0094108E">
      <w:pPr>
        <w:jc w:val="both"/>
        <w:textAlignment w:val="baseline"/>
        <w:rPr>
          <w:rFonts w:asciiTheme="minorHAnsi" w:hAnsiTheme="minorHAnsi" w:cs="Calibri"/>
          <w:sz w:val="22"/>
          <w:szCs w:val="22"/>
          <w14:ligatures w14:val="none"/>
        </w:rPr>
      </w:pPr>
      <w:r w:rsidRPr="0094108E">
        <w:rPr>
          <w:rFonts w:asciiTheme="minorHAnsi" w:hAnsiTheme="minorHAnsi" w:cs="Calibri"/>
          <w:sz w:val="22"/>
          <w:szCs w:val="22"/>
          <w14:ligatures w14:val="none"/>
        </w:rPr>
        <w:t xml:space="preserve">The consultancy is scheduled to take place from Jan 2025 to March 2025 </w:t>
      </w:r>
      <w:r w:rsidRPr="0094108E">
        <w:rPr>
          <w:rFonts w:asciiTheme="minorHAnsi" w:hAnsiTheme="minorHAnsi" w:cs="Calibri"/>
          <w:sz w:val="22"/>
          <w:szCs w:val="22"/>
          <w14:ligatures w14:val="none"/>
        </w:rPr>
        <w:br/>
        <w:t xml:space="preserve">spanning </w:t>
      </w:r>
      <w:r w:rsidR="00D5477D">
        <w:rPr>
          <w:rFonts w:asciiTheme="minorHAnsi" w:hAnsiTheme="minorHAnsi" w:cs="Calibri"/>
          <w:sz w:val="22"/>
          <w:szCs w:val="22"/>
          <w14:ligatures w14:val="none"/>
        </w:rPr>
        <w:t>15-20</w:t>
      </w:r>
      <w:r w:rsidRPr="0094108E">
        <w:rPr>
          <w:rFonts w:asciiTheme="minorHAnsi" w:hAnsiTheme="minorHAnsi" w:cs="Calibri"/>
          <w:sz w:val="22"/>
          <w:szCs w:val="22"/>
          <w14:ligatures w14:val="none"/>
        </w:rPr>
        <w:t xml:space="preserve"> days of work. The Senior IPA Commercial Contracts for NRC, based in the UK, will oversee the management of the consultancy. The consultant can work remotely. </w:t>
      </w:r>
    </w:p>
    <w:p w14:paraId="498C8977" w14:textId="1116CE54" w:rsidR="005E47C5" w:rsidRPr="005E47C5" w:rsidRDefault="005E47C5" w:rsidP="005E47C5">
      <w:pPr>
        <w:numPr>
          <w:ilvl w:val="0"/>
          <w:numId w:val="5"/>
        </w:numPr>
        <w:spacing w:before="100" w:beforeAutospacing="1" w:after="100" w:afterAutospacing="1" w:line="259" w:lineRule="auto"/>
        <w:jc w:val="both"/>
        <w:rPr>
          <w:rFonts w:asciiTheme="minorHAnsi" w:hAnsiTheme="minorHAnsi" w:cs="Calibri"/>
          <w:sz w:val="22"/>
          <w:szCs w:val="22"/>
          <w:lang w:eastAsia="en-GB"/>
          <w14:ligatures w14:val="none"/>
        </w:rPr>
      </w:pPr>
      <w:r w:rsidRPr="001F5EFE">
        <w:rPr>
          <w:rFonts w:asciiTheme="minorHAnsi" w:hAnsiTheme="minorHAnsi" w:cs="Calibri"/>
          <w:b/>
          <w:bCs/>
          <w:sz w:val="22"/>
          <w:szCs w:val="22"/>
          <w:lang w:eastAsia="en-GB"/>
          <w14:ligatures w14:val="none"/>
        </w:rPr>
        <w:t xml:space="preserve">Up to </w:t>
      </w:r>
      <w:r w:rsidR="00624CC8">
        <w:rPr>
          <w:rFonts w:asciiTheme="minorHAnsi" w:hAnsiTheme="minorHAnsi" w:cs="Calibri"/>
          <w:b/>
          <w:bCs/>
          <w:sz w:val="22"/>
          <w:szCs w:val="22"/>
          <w:lang w:eastAsia="en-GB"/>
          <w14:ligatures w14:val="none"/>
        </w:rPr>
        <w:t>4</w:t>
      </w:r>
      <w:r w:rsidRPr="001F5EFE">
        <w:rPr>
          <w:rFonts w:asciiTheme="minorHAnsi" w:hAnsiTheme="minorHAnsi" w:cs="Calibri"/>
          <w:b/>
          <w:bCs/>
          <w:sz w:val="22"/>
          <w:szCs w:val="22"/>
          <w:lang w:eastAsia="en-GB"/>
          <w14:ligatures w14:val="none"/>
        </w:rPr>
        <w:t xml:space="preserve"> days</w:t>
      </w:r>
      <w:r w:rsidRPr="005E47C5">
        <w:rPr>
          <w:rFonts w:asciiTheme="minorHAnsi" w:hAnsiTheme="minorHAnsi" w:cs="Calibri"/>
          <w:sz w:val="22"/>
          <w:szCs w:val="22"/>
          <w:lang w:eastAsia="en-GB"/>
          <w14:ligatures w14:val="none"/>
        </w:rPr>
        <w:t xml:space="preserve"> for conducting interviews and writing the assessment report.</w:t>
      </w:r>
    </w:p>
    <w:p w14:paraId="2F826802" w14:textId="77777777" w:rsidR="005E47C5" w:rsidRPr="005E47C5" w:rsidRDefault="005E47C5" w:rsidP="005E47C5">
      <w:pPr>
        <w:numPr>
          <w:ilvl w:val="0"/>
          <w:numId w:val="5"/>
        </w:numPr>
        <w:spacing w:before="100" w:beforeAutospacing="1" w:after="100" w:afterAutospacing="1" w:line="259" w:lineRule="auto"/>
        <w:jc w:val="both"/>
        <w:rPr>
          <w:rFonts w:asciiTheme="minorHAnsi" w:hAnsiTheme="minorHAnsi" w:cs="Calibri"/>
          <w:sz w:val="22"/>
          <w:szCs w:val="22"/>
          <w:lang w:eastAsia="en-GB"/>
          <w14:ligatures w14:val="none"/>
        </w:rPr>
      </w:pPr>
      <w:r w:rsidRPr="001F5EFE">
        <w:rPr>
          <w:rFonts w:asciiTheme="minorHAnsi" w:hAnsiTheme="minorHAnsi" w:cs="Calibri"/>
          <w:b/>
          <w:bCs/>
          <w:sz w:val="22"/>
          <w:szCs w:val="22"/>
          <w:lang w:eastAsia="en-GB"/>
          <w14:ligatures w14:val="none"/>
        </w:rPr>
        <w:t>Up to 10 days</w:t>
      </w:r>
      <w:r w:rsidRPr="005E47C5">
        <w:rPr>
          <w:rFonts w:asciiTheme="minorHAnsi" w:hAnsiTheme="minorHAnsi" w:cs="Calibri"/>
          <w:sz w:val="22"/>
          <w:szCs w:val="22"/>
          <w:lang w:eastAsia="en-GB"/>
          <w14:ligatures w14:val="none"/>
        </w:rPr>
        <w:t xml:space="preserve"> to develop the first drafts of the Standardized Cost Presentation Formats, Pricing SOPs, and the Tax Compliance Framework.</w:t>
      </w:r>
    </w:p>
    <w:p w14:paraId="38DCDD08" w14:textId="1054782E" w:rsidR="005E47C5" w:rsidRPr="005E47C5" w:rsidRDefault="005E47C5" w:rsidP="005E47C5">
      <w:pPr>
        <w:numPr>
          <w:ilvl w:val="0"/>
          <w:numId w:val="5"/>
        </w:numPr>
        <w:spacing w:before="100" w:beforeAutospacing="1" w:after="100" w:afterAutospacing="1" w:line="259" w:lineRule="auto"/>
        <w:jc w:val="both"/>
        <w:rPr>
          <w:rFonts w:asciiTheme="minorHAnsi" w:hAnsiTheme="minorHAnsi" w:cs="Calibri"/>
          <w:sz w:val="22"/>
          <w:szCs w:val="22"/>
          <w:lang w:eastAsia="en-GB"/>
          <w14:ligatures w14:val="none"/>
        </w:rPr>
      </w:pPr>
      <w:r w:rsidRPr="001F5EFE">
        <w:rPr>
          <w:rFonts w:asciiTheme="minorHAnsi" w:hAnsiTheme="minorHAnsi" w:cs="Calibri"/>
          <w:b/>
          <w:bCs/>
          <w:sz w:val="22"/>
          <w:szCs w:val="22"/>
          <w:lang w:eastAsia="en-GB"/>
          <w14:ligatures w14:val="none"/>
        </w:rPr>
        <w:t xml:space="preserve">Up to </w:t>
      </w:r>
      <w:r w:rsidR="00624CC8">
        <w:rPr>
          <w:rFonts w:asciiTheme="minorHAnsi" w:hAnsiTheme="minorHAnsi" w:cs="Calibri"/>
          <w:b/>
          <w:bCs/>
          <w:sz w:val="22"/>
          <w:szCs w:val="22"/>
          <w:lang w:eastAsia="en-GB"/>
          <w14:ligatures w14:val="none"/>
        </w:rPr>
        <w:t>3</w:t>
      </w:r>
      <w:r w:rsidRPr="001F5EFE">
        <w:rPr>
          <w:rFonts w:asciiTheme="minorHAnsi" w:hAnsiTheme="minorHAnsi" w:cs="Calibri"/>
          <w:b/>
          <w:bCs/>
          <w:sz w:val="22"/>
          <w:szCs w:val="22"/>
          <w:lang w:eastAsia="en-GB"/>
          <w14:ligatures w14:val="none"/>
        </w:rPr>
        <w:t xml:space="preserve"> days</w:t>
      </w:r>
      <w:r w:rsidRPr="005E47C5">
        <w:rPr>
          <w:rFonts w:asciiTheme="minorHAnsi" w:hAnsiTheme="minorHAnsi" w:cs="Calibri"/>
          <w:sz w:val="22"/>
          <w:szCs w:val="22"/>
          <w:lang w:eastAsia="en-GB"/>
          <w14:ligatures w14:val="none"/>
        </w:rPr>
        <w:t xml:space="preserve"> for reviewing feedback, responding to comments, and writing the final drafts of the Standardized Cost Presentation Formats, Pricing SOPs, and the Tax Compliance Framework.</w:t>
      </w:r>
    </w:p>
    <w:p w14:paraId="0C18609D" w14:textId="073C939F" w:rsidR="005E47C5" w:rsidRDefault="005E47C5" w:rsidP="005E47C5">
      <w:pPr>
        <w:numPr>
          <w:ilvl w:val="0"/>
          <w:numId w:val="5"/>
        </w:numPr>
        <w:spacing w:before="100" w:beforeAutospacing="1" w:after="100" w:afterAutospacing="1" w:line="259" w:lineRule="auto"/>
        <w:jc w:val="both"/>
        <w:rPr>
          <w:rFonts w:asciiTheme="minorHAnsi" w:hAnsiTheme="minorHAnsi" w:cs="Calibri"/>
          <w:sz w:val="22"/>
          <w:szCs w:val="22"/>
          <w:lang w:eastAsia="en-GB"/>
          <w14:ligatures w14:val="none"/>
        </w:rPr>
      </w:pPr>
      <w:r w:rsidRPr="001F5EFE">
        <w:rPr>
          <w:rFonts w:asciiTheme="minorHAnsi" w:hAnsiTheme="minorHAnsi" w:cs="Calibri"/>
          <w:b/>
          <w:bCs/>
          <w:sz w:val="22"/>
          <w:szCs w:val="22"/>
          <w:lang w:eastAsia="en-GB"/>
          <w14:ligatures w14:val="none"/>
        </w:rPr>
        <w:t xml:space="preserve">Up to </w:t>
      </w:r>
      <w:r w:rsidR="00E15A19">
        <w:rPr>
          <w:rFonts w:asciiTheme="minorHAnsi" w:hAnsiTheme="minorHAnsi" w:cs="Calibri"/>
          <w:b/>
          <w:bCs/>
          <w:sz w:val="22"/>
          <w:szCs w:val="22"/>
          <w:lang w:eastAsia="en-GB"/>
          <w14:ligatures w14:val="none"/>
        </w:rPr>
        <w:t xml:space="preserve">1.5 </w:t>
      </w:r>
      <w:r w:rsidRPr="001F5EFE">
        <w:rPr>
          <w:rFonts w:asciiTheme="minorHAnsi" w:hAnsiTheme="minorHAnsi" w:cs="Calibri"/>
          <w:b/>
          <w:bCs/>
          <w:sz w:val="22"/>
          <w:szCs w:val="22"/>
          <w:lang w:eastAsia="en-GB"/>
          <w14:ligatures w14:val="none"/>
        </w:rPr>
        <w:t>days</w:t>
      </w:r>
      <w:r w:rsidRPr="005E47C5">
        <w:rPr>
          <w:rFonts w:asciiTheme="minorHAnsi" w:hAnsiTheme="minorHAnsi" w:cs="Calibri"/>
          <w:sz w:val="22"/>
          <w:szCs w:val="22"/>
          <w:lang w:eastAsia="en-GB"/>
          <w14:ligatures w14:val="none"/>
        </w:rPr>
        <w:t xml:space="preserve"> for developing a training module </w:t>
      </w:r>
      <w:r w:rsidR="413946DA" w:rsidRPr="2D2B1871">
        <w:rPr>
          <w:rFonts w:asciiTheme="minorHAnsi" w:hAnsiTheme="minorHAnsi" w:cs="Calibri"/>
          <w:sz w:val="22"/>
          <w:szCs w:val="22"/>
          <w:lang w:eastAsia="en-GB"/>
          <w14:ligatures w14:val="none"/>
        </w:rPr>
        <w:t xml:space="preserve">based on the pricing SOPs </w:t>
      </w:r>
      <w:r w:rsidRPr="005E47C5">
        <w:rPr>
          <w:rFonts w:asciiTheme="minorHAnsi" w:hAnsiTheme="minorHAnsi" w:cs="Calibri"/>
          <w:sz w:val="22"/>
          <w:szCs w:val="22"/>
          <w:lang w:eastAsia="en-GB"/>
          <w14:ligatures w14:val="none"/>
        </w:rPr>
        <w:t>and</w:t>
      </w:r>
      <w:r w:rsidR="7C5C4962" w:rsidRPr="2D2B1871">
        <w:rPr>
          <w:rFonts w:asciiTheme="minorHAnsi" w:hAnsiTheme="minorHAnsi" w:cs="Calibri"/>
          <w:sz w:val="22"/>
          <w:szCs w:val="22"/>
          <w:lang w:eastAsia="en-GB"/>
          <w14:ligatures w14:val="none"/>
        </w:rPr>
        <w:t xml:space="preserve">, if </w:t>
      </w:r>
      <w:r w:rsidR="27B06CF7" w:rsidRPr="2D2B1871">
        <w:rPr>
          <w:rFonts w:asciiTheme="minorHAnsi" w:hAnsiTheme="minorHAnsi" w:cs="Calibri"/>
          <w:sz w:val="22"/>
          <w:szCs w:val="22"/>
          <w:lang w:eastAsia="en-GB"/>
          <w14:ligatures w14:val="none"/>
        </w:rPr>
        <w:t>possible,</w:t>
      </w:r>
      <w:r w:rsidRPr="005E47C5">
        <w:rPr>
          <w:rFonts w:asciiTheme="minorHAnsi" w:hAnsiTheme="minorHAnsi" w:cs="Calibri"/>
          <w:sz w:val="22"/>
          <w:szCs w:val="22"/>
          <w:lang w:eastAsia="en-GB"/>
          <w14:ligatures w14:val="none"/>
        </w:rPr>
        <w:t xml:space="preserve"> delivering one training session.</w:t>
      </w:r>
    </w:p>
    <w:p w14:paraId="63FC2EB5" w14:textId="0A39850F" w:rsidR="00E15A19" w:rsidRPr="00375560" w:rsidRDefault="00E15A19" w:rsidP="00375560">
      <w:pPr>
        <w:numPr>
          <w:ilvl w:val="0"/>
          <w:numId w:val="5"/>
        </w:numPr>
        <w:spacing w:line="259" w:lineRule="auto"/>
        <w:jc w:val="both"/>
        <w:rPr>
          <w:rFonts w:asciiTheme="minorHAnsi" w:hAnsiTheme="minorHAnsi" w:cs="Calibri"/>
          <w:sz w:val="22"/>
          <w:szCs w:val="22"/>
          <w:lang w:eastAsia="en-GB" w:bidi="he-IL"/>
          <w14:ligatures w14:val="none"/>
        </w:rPr>
      </w:pPr>
      <w:r>
        <w:rPr>
          <w:rFonts w:asciiTheme="minorHAnsi" w:hAnsiTheme="minorHAnsi" w:cs="Calibri"/>
          <w:b/>
          <w:bCs/>
          <w:sz w:val="22"/>
          <w:szCs w:val="22"/>
          <w:lang w:eastAsia="en-GB"/>
          <w14:ligatures w14:val="none"/>
        </w:rPr>
        <w:t xml:space="preserve">Up to </w:t>
      </w:r>
      <w:r w:rsidR="00624CC8">
        <w:rPr>
          <w:rFonts w:asciiTheme="minorHAnsi" w:hAnsiTheme="minorHAnsi" w:cs="Calibri"/>
          <w:b/>
          <w:bCs/>
          <w:sz w:val="22"/>
          <w:szCs w:val="22"/>
          <w:lang w:eastAsia="en-GB"/>
          <w14:ligatures w14:val="none"/>
        </w:rPr>
        <w:t>1.5</w:t>
      </w:r>
      <w:r>
        <w:rPr>
          <w:rFonts w:asciiTheme="minorHAnsi" w:hAnsiTheme="minorHAnsi" w:cs="Calibri"/>
          <w:b/>
          <w:bCs/>
          <w:sz w:val="22"/>
          <w:szCs w:val="22"/>
          <w:lang w:eastAsia="en-GB"/>
          <w14:ligatures w14:val="none"/>
        </w:rPr>
        <w:t xml:space="preserve"> days </w:t>
      </w:r>
      <w:r w:rsidRPr="00E15A19">
        <w:rPr>
          <w:rFonts w:asciiTheme="minorHAnsi" w:hAnsiTheme="minorHAnsi" w:cs="Calibri"/>
          <w:sz w:val="22"/>
          <w:szCs w:val="22"/>
          <w:lang w:eastAsia="en-GB"/>
          <w14:ligatures w14:val="none"/>
        </w:rPr>
        <w:t>to write the final report covering a</w:t>
      </w:r>
      <w:r w:rsidRPr="00E15A19">
        <w:rPr>
          <w:rFonts w:asciiTheme="minorHAnsi" w:hAnsiTheme="minorHAnsi" w:cs="Calibri"/>
          <w:sz w:val="22"/>
          <w:szCs w:val="22"/>
          <w:lang w:eastAsia="en-GB" w:bidi="he-IL"/>
          <w14:ligatures w14:val="none"/>
        </w:rPr>
        <w:t xml:space="preserve"> summary of the project’s objectives, methodology, and key recommendations for future improvements.</w:t>
      </w:r>
    </w:p>
    <w:p w14:paraId="7AA1210D" w14:textId="566D8C74" w:rsidR="00517E91" w:rsidRDefault="00517E91" w:rsidP="005C587A">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5C587A">
        <w:rPr>
          <w:rFonts w:asciiTheme="minorHAnsi" w:eastAsia="MS Gothic" w:hAnsiTheme="minorHAnsi" w:cstheme="minorHAnsi"/>
          <w:color w:val="FF7602"/>
          <w:sz w:val="28"/>
          <w:szCs w:val="28"/>
          <w:lang w:eastAsia="en-US"/>
        </w:rPr>
        <w:t>Consultant profile</w:t>
      </w:r>
    </w:p>
    <w:p w14:paraId="627D9513" w14:textId="786033E2" w:rsidR="00C93A94" w:rsidRPr="00C93A94" w:rsidRDefault="00EB61B4" w:rsidP="00C93A94">
      <w:pPr>
        <w:spacing w:before="100" w:beforeAutospacing="1" w:after="100" w:afterAutospacing="1"/>
        <w:rPr>
          <w:rFonts w:asciiTheme="minorHAnsi" w:hAnsiTheme="minorHAnsi"/>
          <w:sz w:val="22"/>
          <w:szCs w:val="22"/>
          <w:lang w:eastAsia="en-GB" w:bidi="he-IL"/>
          <w14:ligatures w14:val="none"/>
        </w:rPr>
      </w:pPr>
      <w:r w:rsidRPr="00EB61B4">
        <w:rPr>
          <w:rFonts w:asciiTheme="minorHAnsi" w:hAnsiTheme="minorHAnsi"/>
          <w:sz w:val="22"/>
          <w:szCs w:val="22"/>
          <w:lang w:eastAsia="en-GB" w:bidi="he-IL"/>
          <w14:ligatures w14:val="none"/>
        </w:rPr>
        <w:t>The successful consultant or consultancy firm will possess the following qualifications:</w:t>
      </w:r>
    </w:p>
    <w:p w14:paraId="4E1A314F" w14:textId="32A0EBAA" w:rsidR="001505F8" w:rsidRDefault="001505F8" w:rsidP="00F1133E">
      <w:pPr>
        <w:pStyle w:val="ListParagraph"/>
        <w:numPr>
          <w:ilvl w:val="0"/>
          <w:numId w:val="49"/>
        </w:numPr>
        <w:jc w:val="both"/>
        <w:rPr>
          <w:rFonts w:asciiTheme="minorHAnsi" w:hAnsiTheme="minorHAnsi"/>
          <w:sz w:val="22"/>
          <w:szCs w:val="22"/>
          <w:lang w:eastAsia="en-GB" w:bidi="he-IL"/>
          <w14:ligatures w14:val="none"/>
        </w:rPr>
      </w:pPr>
      <w:r w:rsidRPr="001E6DE9">
        <w:rPr>
          <w:rFonts w:asciiTheme="minorHAnsi" w:hAnsiTheme="minorHAnsi"/>
          <w:b/>
          <w:bCs/>
          <w:sz w:val="22"/>
          <w:szCs w:val="22"/>
          <w:lang w:eastAsia="en-GB" w:bidi="he-IL"/>
          <w14:ligatures w14:val="none"/>
        </w:rPr>
        <w:t xml:space="preserve">Financial Management and Risk Mitigation: </w:t>
      </w:r>
      <w:r w:rsidRPr="001E6DE9">
        <w:rPr>
          <w:rFonts w:asciiTheme="minorHAnsi" w:hAnsiTheme="minorHAnsi"/>
          <w:sz w:val="22"/>
          <w:szCs w:val="22"/>
          <w:lang w:eastAsia="en-GB" w:bidi="he-IL"/>
          <w14:ligatures w14:val="none"/>
        </w:rPr>
        <w:t>Strong background in financial management, including cost allocation, budget development, and risk mitigation for commercial contracts.</w:t>
      </w:r>
    </w:p>
    <w:p w14:paraId="7E367820" w14:textId="77777777" w:rsidR="00C93A94" w:rsidRPr="001E6DE9" w:rsidRDefault="00C93A94" w:rsidP="00F1133E">
      <w:pPr>
        <w:pStyle w:val="ListParagraph"/>
        <w:numPr>
          <w:ilvl w:val="0"/>
          <w:numId w:val="49"/>
        </w:numPr>
        <w:jc w:val="both"/>
        <w:rPr>
          <w:rFonts w:asciiTheme="minorHAnsi" w:hAnsiTheme="minorHAnsi"/>
          <w:sz w:val="22"/>
          <w:szCs w:val="22"/>
          <w:lang w:eastAsia="en-GB" w:bidi="he-IL"/>
          <w14:ligatures w14:val="none"/>
        </w:rPr>
      </w:pPr>
      <w:r w:rsidRPr="001E6DE9">
        <w:rPr>
          <w:rFonts w:asciiTheme="minorHAnsi" w:hAnsiTheme="minorHAnsi"/>
          <w:b/>
          <w:bCs/>
          <w:sz w:val="22"/>
          <w:szCs w:val="22"/>
          <w:lang w:eastAsia="en-GB" w:bidi="he-IL"/>
          <w14:ligatures w14:val="none"/>
        </w:rPr>
        <w:t xml:space="preserve">INGO Commercial Contracting: </w:t>
      </w:r>
      <w:r w:rsidRPr="001E6DE9">
        <w:rPr>
          <w:rFonts w:asciiTheme="minorHAnsi" w:hAnsiTheme="minorHAnsi"/>
          <w:sz w:val="22"/>
          <w:szCs w:val="22"/>
          <w:lang w:eastAsia="en-GB" w:bidi="he-IL"/>
          <w14:ligatures w14:val="none"/>
        </w:rPr>
        <w:t>Deep understanding of the unique financial requirements, risks, and compliance challenges associated with INGO commercial contracts, including those with agencies such as FCDO, the World Bank, and other bilateral/multilateral funders.</w:t>
      </w:r>
    </w:p>
    <w:p w14:paraId="10E4E940" w14:textId="0FA64B7E" w:rsidR="00846303" w:rsidRPr="00846303" w:rsidRDefault="00846303" w:rsidP="00F1133E">
      <w:pPr>
        <w:pStyle w:val="ListParagraph"/>
        <w:numPr>
          <w:ilvl w:val="0"/>
          <w:numId w:val="49"/>
        </w:numPr>
        <w:jc w:val="both"/>
        <w:rPr>
          <w:rFonts w:asciiTheme="minorHAnsi" w:hAnsiTheme="minorHAnsi"/>
          <w:sz w:val="22"/>
          <w:szCs w:val="22"/>
          <w:lang w:eastAsia="en-GB" w:bidi="he-IL"/>
          <w14:ligatures w14:val="none"/>
        </w:rPr>
      </w:pPr>
      <w:r w:rsidRPr="001E6DE9">
        <w:rPr>
          <w:rFonts w:asciiTheme="minorHAnsi" w:hAnsiTheme="minorHAnsi"/>
          <w:b/>
          <w:bCs/>
          <w:sz w:val="22"/>
          <w:szCs w:val="22"/>
          <w:lang w:eastAsia="en-GB" w:bidi="he-IL"/>
          <w14:ligatures w14:val="none"/>
        </w:rPr>
        <w:t xml:space="preserve">Donor Financial Regulations: </w:t>
      </w:r>
      <w:r w:rsidRPr="001E6DE9">
        <w:rPr>
          <w:rFonts w:asciiTheme="minorHAnsi" w:hAnsiTheme="minorHAnsi"/>
          <w:sz w:val="22"/>
          <w:szCs w:val="22"/>
          <w:lang w:eastAsia="en-GB" w:bidi="he-IL"/>
          <w14:ligatures w14:val="none"/>
        </w:rPr>
        <w:t>Strong knowledge of donor financial regulations and guidelines, including those of FCDO, World Bank, and other major funding bodies, ensuring compliance with donor expectations.</w:t>
      </w:r>
    </w:p>
    <w:p w14:paraId="49D91B36" w14:textId="77777777" w:rsidR="004E0EC5" w:rsidRPr="004E0EC5" w:rsidRDefault="00977195" w:rsidP="00F1133E">
      <w:pPr>
        <w:pStyle w:val="ListParagraph"/>
        <w:numPr>
          <w:ilvl w:val="0"/>
          <w:numId w:val="49"/>
        </w:numPr>
        <w:jc w:val="both"/>
        <w:rPr>
          <w:rFonts w:asciiTheme="minorHAnsi" w:hAnsiTheme="minorHAnsi"/>
          <w:sz w:val="22"/>
          <w:szCs w:val="22"/>
          <w:lang w:eastAsia="en-GB" w:bidi="he-IL"/>
          <w14:ligatures w14:val="none"/>
        </w:rPr>
      </w:pPr>
      <w:r w:rsidRPr="001E6DE9">
        <w:rPr>
          <w:rFonts w:asciiTheme="minorHAnsi" w:hAnsiTheme="minorHAnsi"/>
          <w:b/>
          <w:bCs/>
          <w:sz w:val="22"/>
          <w:szCs w:val="22"/>
          <w:lang w:eastAsia="en-GB" w:bidi="he-IL"/>
          <w14:ligatures w14:val="none"/>
        </w:rPr>
        <w:t xml:space="preserve">Cost Proposal Development and Pricing Strategies: </w:t>
      </w:r>
      <w:r w:rsidRPr="001E6DE9">
        <w:rPr>
          <w:rFonts w:asciiTheme="minorHAnsi" w:hAnsiTheme="minorHAnsi"/>
          <w:sz w:val="22"/>
          <w:szCs w:val="22"/>
          <w:lang w:eastAsia="en-GB" w:bidi="he-IL"/>
          <w14:ligatures w14:val="none"/>
        </w:rPr>
        <w:t xml:space="preserve">Proven experience in developing cost proposals, pricing strategies, and budgets for commercial contracts, </w:t>
      </w:r>
      <w:r w:rsidR="004E0EC5" w:rsidRPr="004E0EC5">
        <w:rPr>
          <w:rFonts w:asciiTheme="minorHAnsi" w:hAnsiTheme="minorHAnsi"/>
          <w:sz w:val="22"/>
          <w:szCs w:val="22"/>
          <w:lang w:eastAsia="en-GB" w:bidi="he-IL"/>
          <w14:ligatures w14:val="none"/>
        </w:rPr>
        <w:t>including fee-based, time-and-materials, and fixed-price contracts.</w:t>
      </w:r>
    </w:p>
    <w:p w14:paraId="46255606" w14:textId="2162018B" w:rsidR="006447EB" w:rsidRPr="006447EB" w:rsidRDefault="006447EB" w:rsidP="00F1133E">
      <w:pPr>
        <w:pStyle w:val="ListParagraph"/>
        <w:numPr>
          <w:ilvl w:val="0"/>
          <w:numId w:val="49"/>
        </w:numPr>
        <w:jc w:val="both"/>
        <w:rPr>
          <w:rFonts w:asciiTheme="minorHAnsi" w:hAnsiTheme="minorHAnsi"/>
          <w:sz w:val="22"/>
          <w:szCs w:val="22"/>
          <w:lang w:eastAsia="en-GB" w:bidi="he-IL"/>
          <w14:ligatures w14:val="none"/>
        </w:rPr>
      </w:pPr>
      <w:r w:rsidRPr="001E6DE9">
        <w:rPr>
          <w:rFonts w:asciiTheme="minorHAnsi" w:hAnsiTheme="minorHAnsi"/>
          <w:b/>
          <w:bCs/>
          <w:sz w:val="22"/>
          <w:szCs w:val="22"/>
          <w:lang w:eastAsia="en-GB" w:bidi="he-IL"/>
          <w14:ligatures w14:val="none"/>
        </w:rPr>
        <w:t xml:space="preserve">Experience with Various Contract Types: </w:t>
      </w:r>
      <w:r w:rsidRPr="001E6DE9">
        <w:rPr>
          <w:rFonts w:asciiTheme="minorHAnsi" w:hAnsiTheme="minorHAnsi"/>
          <w:sz w:val="22"/>
          <w:szCs w:val="22"/>
          <w:lang w:eastAsia="en-GB" w:bidi="he-IL"/>
          <w14:ligatures w14:val="none"/>
        </w:rPr>
        <w:t>Demonstrable expertise in developing cost proposals for a variety of contract types, including Payment by Results (</w:t>
      </w:r>
      <w:proofErr w:type="spellStart"/>
      <w:r w:rsidRPr="001E6DE9">
        <w:rPr>
          <w:rFonts w:asciiTheme="minorHAnsi" w:hAnsiTheme="minorHAnsi"/>
          <w:sz w:val="22"/>
          <w:szCs w:val="22"/>
          <w:lang w:eastAsia="en-GB" w:bidi="he-IL"/>
          <w14:ligatures w14:val="none"/>
        </w:rPr>
        <w:t>PbR</w:t>
      </w:r>
      <w:proofErr w:type="spellEnd"/>
      <w:r w:rsidRPr="001E6DE9">
        <w:rPr>
          <w:rFonts w:asciiTheme="minorHAnsi" w:hAnsiTheme="minorHAnsi"/>
          <w:sz w:val="22"/>
          <w:szCs w:val="22"/>
          <w:lang w:eastAsia="en-GB" w:bidi="he-IL"/>
          <w14:ligatures w14:val="none"/>
        </w:rPr>
        <w:t>) and fee rate structures</w:t>
      </w:r>
    </w:p>
    <w:p w14:paraId="729B934E" w14:textId="53F378D9" w:rsidR="006447EB" w:rsidRPr="006447EB" w:rsidRDefault="006447EB" w:rsidP="00F1133E">
      <w:pPr>
        <w:pStyle w:val="ListParagraph"/>
        <w:numPr>
          <w:ilvl w:val="0"/>
          <w:numId w:val="49"/>
        </w:numPr>
        <w:jc w:val="both"/>
        <w:rPr>
          <w:rFonts w:asciiTheme="minorHAnsi" w:hAnsiTheme="minorHAnsi"/>
          <w:sz w:val="22"/>
          <w:szCs w:val="22"/>
          <w:lang w:eastAsia="en-GB" w:bidi="he-IL"/>
          <w14:ligatures w14:val="none"/>
        </w:rPr>
      </w:pPr>
      <w:r w:rsidRPr="001E6DE9">
        <w:rPr>
          <w:rFonts w:asciiTheme="minorHAnsi" w:hAnsiTheme="minorHAnsi"/>
          <w:b/>
          <w:bCs/>
          <w:sz w:val="22"/>
          <w:szCs w:val="22"/>
          <w:lang w:eastAsia="en-GB" w:bidi="he-IL"/>
          <w14:ligatures w14:val="none"/>
        </w:rPr>
        <w:t xml:space="preserve">Pricing SOP Development: </w:t>
      </w:r>
      <w:r w:rsidRPr="001E6DE9">
        <w:rPr>
          <w:rFonts w:asciiTheme="minorHAnsi" w:hAnsiTheme="minorHAnsi"/>
          <w:sz w:val="22"/>
          <w:szCs w:val="22"/>
          <w:lang w:eastAsia="en-GB" w:bidi="he-IL"/>
          <w14:ligatures w14:val="none"/>
        </w:rPr>
        <w:t>Proven track record in developing and implementing pricing Standard Operating Procedures (SOPs) for commercial contracts, particularly within the INGO sector.</w:t>
      </w:r>
    </w:p>
    <w:p w14:paraId="53BA0EC7" w14:textId="0809662D" w:rsidR="001E6DE9" w:rsidRPr="007C5196" w:rsidRDefault="001505F8" w:rsidP="007C5196">
      <w:pPr>
        <w:pStyle w:val="ListParagraph"/>
        <w:numPr>
          <w:ilvl w:val="0"/>
          <w:numId w:val="49"/>
        </w:numPr>
        <w:jc w:val="both"/>
        <w:rPr>
          <w:rFonts w:asciiTheme="minorHAnsi" w:hAnsiTheme="minorHAnsi"/>
          <w:sz w:val="22"/>
          <w:szCs w:val="22"/>
          <w:lang w:eastAsia="en-GB" w:bidi="he-IL"/>
          <w14:ligatures w14:val="none"/>
        </w:rPr>
      </w:pPr>
      <w:r w:rsidRPr="001E6DE9">
        <w:rPr>
          <w:rFonts w:asciiTheme="minorHAnsi" w:hAnsiTheme="minorHAnsi"/>
          <w:b/>
          <w:bCs/>
          <w:sz w:val="22"/>
          <w:szCs w:val="22"/>
          <w:lang w:eastAsia="en-GB" w:bidi="he-IL"/>
          <w14:ligatures w14:val="none"/>
        </w:rPr>
        <w:t xml:space="preserve">Tax and Compliance Knowledge: </w:t>
      </w:r>
      <w:r w:rsidRPr="001E6DE9">
        <w:rPr>
          <w:rFonts w:asciiTheme="minorHAnsi" w:hAnsiTheme="minorHAnsi"/>
          <w:sz w:val="22"/>
          <w:szCs w:val="22"/>
          <w:lang w:eastAsia="en-GB" w:bidi="he-IL"/>
          <w14:ligatures w14:val="none"/>
        </w:rPr>
        <w:t>In-depth understanding of tax obligations for commercial contracts, including VAT, withholding taxes, and international tax treaties, ensuring compliance across jurisdictions.</w:t>
      </w:r>
    </w:p>
    <w:p w14:paraId="57B3AE14" w14:textId="77777777" w:rsidR="00517E91" w:rsidRPr="00001FFB" w:rsidRDefault="00517E91" w:rsidP="00517E91">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001FFB">
        <w:rPr>
          <w:rFonts w:asciiTheme="minorHAnsi" w:eastAsia="MS Gothic" w:hAnsiTheme="minorHAnsi" w:cstheme="minorHAnsi"/>
          <w:color w:val="FF7602"/>
          <w:sz w:val="28"/>
          <w:szCs w:val="28"/>
          <w:lang w:eastAsia="en-US"/>
        </w:rPr>
        <w:t>Application process</w:t>
      </w:r>
    </w:p>
    <w:p w14:paraId="3DFF7E0E" w14:textId="2B749F08" w:rsidR="007D2617" w:rsidRPr="004D4CD0" w:rsidRDefault="007D2617" w:rsidP="007D2617">
      <w:pPr>
        <w:jc w:val="both"/>
        <w:rPr>
          <w:rFonts w:asciiTheme="minorHAnsi" w:eastAsia="MS Gothic" w:hAnsiTheme="minorHAnsi" w:cs="Calibri"/>
          <w:sz w:val="22"/>
          <w:szCs w:val="22"/>
          <w:lang w:eastAsia="en-GB"/>
          <w14:ligatures w14:val="none"/>
        </w:rPr>
      </w:pPr>
      <w:r w:rsidRPr="004D4CD0">
        <w:rPr>
          <w:rFonts w:asciiTheme="minorHAnsi" w:eastAsia="MS Gothic" w:hAnsiTheme="minorHAnsi" w:cs="Calibri"/>
          <w:color w:val="000000"/>
          <w:sz w:val="22"/>
          <w:szCs w:val="22"/>
          <w:lang w:eastAsia="en-GB"/>
          <w14:ligatures w14:val="none"/>
        </w:rPr>
        <w:t xml:space="preserve">All </w:t>
      </w:r>
      <w:r w:rsidR="00D16A66" w:rsidRPr="004D4CD0">
        <w:rPr>
          <w:rFonts w:asciiTheme="minorHAnsi" w:eastAsia="MS Gothic" w:hAnsiTheme="minorHAnsi" w:cs="Calibri"/>
          <w:color w:val="000000"/>
          <w:sz w:val="22"/>
          <w:szCs w:val="22"/>
          <w:lang w:eastAsia="en-GB"/>
          <w14:ligatures w14:val="none"/>
        </w:rPr>
        <w:t>proposals are</w:t>
      </w:r>
      <w:r w:rsidRPr="004D4CD0">
        <w:rPr>
          <w:rFonts w:asciiTheme="minorHAnsi" w:eastAsia="MS Gothic" w:hAnsiTheme="minorHAnsi" w:cs="Calibri"/>
          <w:color w:val="000000"/>
          <w:sz w:val="22"/>
          <w:szCs w:val="22"/>
          <w:lang w:eastAsia="en-GB"/>
          <w14:ligatures w14:val="none"/>
        </w:rPr>
        <w:t xml:space="preserve"> to be submitted in English language only. The proposal must include, but is not limited to, </w:t>
      </w:r>
      <w:r w:rsidRPr="004D4CD0">
        <w:rPr>
          <w:rFonts w:asciiTheme="minorHAnsi" w:eastAsia="MS Gothic" w:hAnsiTheme="minorHAnsi" w:cs="Calibri"/>
          <w:sz w:val="22"/>
          <w:szCs w:val="22"/>
          <w:lang w:eastAsia="en-GB"/>
          <w14:ligatures w14:val="none"/>
        </w:rPr>
        <w:t>the following items:</w:t>
      </w:r>
    </w:p>
    <w:p w14:paraId="5A98AB3E" w14:textId="77777777" w:rsidR="00D16A66" w:rsidRPr="004D4CD0" w:rsidRDefault="00D16A66" w:rsidP="007D2617">
      <w:pPr>
        <w:jc w:val="both"/>
        <w:rPr>
          <w:rFonts w:asciiTheme="minorHAnsi" w:eastAsia="MS Gothic" w:hAnsiTheme="minorHAnsi" w:cs="Calibri"/>
          <w:sz w:val="22"/>
          <w:szCs w:val="22"/>
          <w:lang w:eastAsia="en-GB"/>
          <w14:ligatures w14:val="none"/>
        </w:rPr>
      </w:pPr>
    </w:p>
    <w:p w14:paraId="3481B695" w14:textId="77777777" w:rsidR="00C50714" w:rsidRPr="00C22F4A" w:rsidRDefault="00C50714" w:rsidP="00C50714">
      <w:pPr>
        <w:numPr>
          <w:ilvl w:val="0"/>
          <w:numId w:val="16"/>
        </w:numPr>
        <w:rPr>
          <w:rFonts w:asciiTheme="minorHAnsi" w:eastAsia="MS Gothic" w:hAnsiTheme="minorHAnsi"/>
          <w:sz w:val="22"/>
          <w:szCs w:val="22"/>
          <w:lang w:eastAsia="en-US"/>
        </w:rPr>
      </w:pPr>
      <w:r w:rsidRPr="00C22F4A">
        <w:rPr>
          <w:rFonts w:asciiTheme="minorHAnsi" w:eastAsia="MS Gothic" w:hAnsiTheme="minorHAnsi"/>
          <w:b/>
          <w:bCs/>
          <w:sz w:val="22"/>
          <w:szCs w:val="22"/>
          <w:lang w:eastAsia="en-US"/>
        </w:rPr>
        <w:t>Technical Proposal</w:t>
      </w:r>
      <w:r w:rsidRPr="00C22F4A">
        <w:rPr>
          <w:rFonts w:asciiTheme="minorHAnsi" w:eastAsia="MS Gothic" w:hAnsiTheme="minorHAnsi"/>
          <w:sz w:val="22"/>
          <w:szCs w:val="22"/>
          <w:lang w:eastAsia="en-US"/>
        </w:rPr>
        <w:t>:</w:t>
      </w:r>
    </w:p>
    <w:p w14:paraId="6F463783" w14:textId="77777777" w:rsidR="00C50714" w:rsidRPr="00C22F4A" w:rsidRDefault="00C50714" w:rsidP="00C50714">
      <w:pPr>
        <w:numPr>
          <w:ilvl w:val="1"/>
          <w:numId w:val="16"/>
        </w:numPr>
        <w:rPr>
          <w:rFonts w:asciiTheme="minorHAnsi" w:eastAsia="MS Gothic" w:hAnsiTheme="minorHAnsi"/>
          <w:sz w:val="22"/>
          <w:szCs w:val="22"/>
          <w:lang w:eastAsia="en-US"/>
        </w:rPr>
      </w:pPr>
      <w:r w:rsidRPr="00C22F4A">
        <w:rPr>
          <w:rFonts w:asciiTheme="minorHAnsi" w:eastAsia="MS Gothic" w:hAnsiTheme="minorHAnsi"/>
          <w:sz w:val="22"/>
          <w:szCs w:val="22"/>
          <w:lang w:eastAsia="en-US"/>
        </w:rPr>
        <w:t>An overview of the consultant’s approach and methodology for achieving the consultancy objectives.</w:t>
      </w:r>
    </w:p>
    <w:p w14:paraId="73CC7E12" w14:textId="77777777" w:rsidR="00C50714" w:rsidRPr="00C22F4A" w:rsidRDefault="00C50714" w:rsidP="00C50714">
      <w:pPr>
        <w:numPr>
          <w:ilvl w:val="1"/>
          <w:numId w:val="16"/>
        </w:numPr>
        <w:rPr>
          <w:rFonts w:asciiTheme="minorHAnsi" w:eastAsia="MS Gothic" w:hAnsiTheme="minorHAnsi"/>
          <w:sz w:val="22"/>
          <w:szCs w:val="22"/>
          <w:lang w:eastAsia="en-US"/>
        </w:rPr>
      </w:pPr>
      <w:r w:rsidRPr="00C22F4A">
        <w:rPr>
          <w:rFonts w:asciiTheme="minorHAnsi" w:eastAsia="MS Gothic" w:hAnsiTheme="minorHAnsi"/>
          <w:sz w:val="22"/>
          <w:szCs w:val="22"/>
          <w:lang w:eastAsia="en-US"/>
        </w:rPr>
        <w:t>A proposed work plan and timeline for delivering each of the key deliverables.</w:t>
      </w:r>
    </w:p>
    <w:p w14:paraId="070D5E85" w14:textId="77777777" w:rsidR="00C50714" w:rsidRPr="00C22F4A" w:rsidRDefault="00C50714" w:rsidP="00C50714">
      <w:pPr>
        <w:numPr>
          <w:ilvl w:val="1"/>
          <w:numId w:val="16"/>
        </w:numPr>
        <w:rPr>
          <w:rFonts w:asciiTheme="minorHAnsi" w:eastAsia="MS Gothic" w:hAnsiTheme="minorHAnsi"/>
          <w:sz w:val="22"/>
          <w:szCs w:val="22"/>
          <w:lang w:eastAsia="en-US"/>
        </w:rPr>
      </w:pPr>
      <w:r w:rsidRPr="00C22F4A">
        <w:rPr>
          <w:rFonts w:asciiTheme="minorHAnsi" w:eastAsia="MS Gothic" w:hAnsiTheme="minorHAnsi"/>
          <w:sz w:val="22"/>
          <w:szCs w:val="22"/>
          <w:lang w:eastAsia="en-US"/>
        </w:rPr>
        <w:t>Relevant examples of previous work in cost proposal development, pricing strategies, or financial compliance.</w:t>
      </w:r>
    </w:p>
    <w:p w14:paraId="26EFD009" w14:textId="77777777" w:rsidR="00C50714" w:rsidRPr="00C22F4A" w:rsidRDefault="00C50714" w:rsidP="00C50714">
      <w:pPr>
        <w:numPr>
          <w:ilvl w:val="1"/>
          <w:numId w:val="16"/>
        </w:numPr>
        <w:rPr>
          <w:rFonts w:asciiTheme="minorHAnsi" w:eastAsia="MS Gothic" w:hAnsiTheme="minorHAnsi"/>
          <w:sz w:val="22"/>
          <w:szCs w:val="22"/>
          <w:lang w:eastAsia="en-US"/>
        </w:rPr>
      </w:pPr>
      <w:r w:rsidRPr="00C22F4A">
        <w:rPr>
          <w:rFonts w:asciiTheme="minorHAnsi" w:eastAsia="MS Gothic" w:hAnsiTheme="minorHAnsi"/>
          <w:sz w:val="22"/>
          <w:szCs w:val="22"/>
          <w:lang w:eastAsia="en-US"/>
        </w:rPr>
        <w:t>CVs or qualifications of the consultant or consultancy team.</w:t>
      </w:r>
    </w:p>
    <w:p w14:paraId="590CBA31" w14:textId="77777777" w:rsidR="00C50714" w:rsidRPr="00C22F4A" w:rsidRDefault="00C50714" w:rsidP="00C50714">
      <w:pPr>
        <w:numPr>
          <w:ilvl w:val="0"/>
          <w:numId w:val="16"/>
        </w:numPr>
        <w:rPr>
          <w:rFonts w:asciiTheme="minorHAnsi" w:eastAsia="MS Gothic" w:hAnsiTheme="minorHAnsi"/>
          <w:sz w:val="22"/>
          <w:szCs w:val="22"/>
          <w:lang w:eastAsia="en-US"/>
        </w:rPr>
      </w:pPr>
      <w:r w:rsidRPr="00C22F4A">
        <w:rPr>
          <w:rFonts w:asciiTheme="minorHAnsi" w:eastAsia="MS Gothic" w:hAnsiTheme="minorHAnsi"/>
          <w:b/>
          <w:bCs/>
          <w:sz w:val="22"/>
          <w:szCs w:val="22"/>
          <w:lang w:eastAsia="en-US"/>
        </w:rPr>
        <w:t>Financial Proposal</w:t>
      </w:r>
      <w:r w:rsidRPr="00C22F4A">
        <w:rPr>
          <w:rFonts w:asciiTheme="minorHAnsi" w:eastAsia="MS Gothic" w:hAnsiTheme="minorHAnsi"/>
          <w:sz w:val="22"/>
          <w:szCs w:val="22"/>
          <w:lang w:eastAsia="en-US"/>
        </w:rPr>
        <w:t>:</w:t>
      </w:r>
    </w:p>
    <w:p w14:paraId="584FCA3B" w14:textId="70A6C138" w:rsidR="00C50714" w:rsidRPr="00CD320E" w:rsidRDefault="00C50714" w:rsidP="00CD320E">
      <w:pPr>
        <w:pStyle w:val="ListParagraph"/>
        <w:numPr>
          <w:ilvl w:val="1"/>
          <w:numId w:val="16"/>
        </w:numPr>
        <w:rPr>
          <w:rFonts w:asciiTheme="minorHAnsi" w:eastAsia="MS Gothic" w:hAnsiTheme="minorHAnsi"/>
          <w:sz w:val="22"/>
          <w:szCs w:val="22"/>
          <w:lang w:eastAsia="en-US"/>
        </w:rPr>
      </w:pPr>
      <w:r w:rsidRPr="00CD320E">
        <w:rPr>
          <w:rFonts w:asciiTheme="minorHAnsi" w:eastAsia="MS Gothic" w:hAnsiTheme="minorHAnsi"/>
          <w:sz w:val="22"/>
          <w:szCs w:val="22"/>
          <w:lang w:eastAsia="en-US"/>
        </w:rPr>
        <w:t>A detailed cost breakdown for the consultancy, including daily rates, estimated hours for each task</w:t>
      </w:r>
      <w:r w:rsidR="00CD320E" w:rsidRPr="00CD320E">
        <w:rPr>
          <w:rFonts w:asciiTheme="minorHAnsi" w:eastAsia="MS Gothic" w:hAnsiTheme="minorHAnsi"/>
          <w:sz w:val="22"/>
          <w:szCs w:val="22"/>
          <w:lang w:eastAsia="en-US"/>
        </w:rPr>
        <w:t>. The required currency for all pricing information is GBP.</w:t>
      </w:r>
    </w:p>
    <w:p w14:paraId="080E30DF" w14:textId="755F4466" w:rsidR="00C50714" w:rsidRPr="00B54695" w:rsidRDefault="00C50714" w:rsidP="00CD320E">
      <w:pPr>
        <w:numPr>
          <w:ilvl w:val="1"/>
          <w:numId w:val="16"/>
        </w:numPr>
        <w:rPr>
          <w:rFonts w:asciiTheme="minorHAnsi" w:eastAsia="MS Gothic" w:hAnsiTheme="minorHAnsi"/>
          <w:sz w:val="22"/>
          <w:szCs w:val="22"/>
          <w:lang w:eastAsia="en-US"/>
        </w:rPr>
      </w:pPr>
      <w:r w:rsidRPr="00C22F4A">
        <w:rPr>
          <w:rFonts w:asciiTheme="minorHAnsi" w:eastAsia="MS Gothic" w:hAnsiTheme="minorHAnsi"/>
          <w:sz w:val="22"/>
          <w:szCs w:val="22"/>
          <w:lang w:eastAsia="en-US"/>
        </w:rPr>
        <w:t>A proposed payment schedule.</w:t>
      </w:r>
      <w:r w:rsidR="00B54695" w:rsidRPr="00B54695">
        <w:rPr>
          <w:rFonts w:ascii="Aptos" w:eastAsia="MS Gothic" w:hAnsi="Aptos"/>
          <w:sz w:val="22"/>
          <w:szCs w:val="22"/>
          <w:lang w:eastAsia="en-US"/>
        </w:rPr>
        <w:t xml:space="preserve"> </w:t>
      </w:r>
    </w:p>
    <w:p w14:paraId="2375A305" w14:textId="77777777" w:rsidR="00C50714" w:rsidRPr="00C22F4A" w:rsidRDefault="00C50714" w:rsidP="00C50714">
      <w:pPr>
        <w:numPr>
          <w:ilvl w:val="0"/>
          <w:numId w:val="16"/>
        </w:numPr>
        <w:rPr>
          <w:rFonts w:asciiTheme="minorHAnsi" w:eastAsia="MS Gothic" w:hAnsiTheme="minorHAnsi"/>
          <w:sz w:val="22"/>
          <w:szCs w:val="22"/>
          <w:lang w:eastAsia="en-US"/>
        </w:rPr>
      </w:pPr>
      <w:r w:rsidRPr="00C22F4A">
        <w:rPr>
          <w:rFonts w:asciiTheme="minorHAnsi" w:eastAsia="MS Gothic" w:hAnsiTheme="minorHAnsi"/>
          <w:b/>
          <w:bCs/>
          <w:sz w:val="22"/>
          <w:szCs w:val="22"/>
          <w:lang w:eastAsia="en-US"/>
        </w:rPr>
        <w:t>References</w:t>
      </w:r>
      <w:r w:rsidRPr="00C22F4A">
        <w:rPr>
          <w:rFonts w:asciiTheme="minorHAnsi" w:eastAsia="MS Gothic" w:hAnsiTheme="minorHAnsi"/>
          <w:sz w:val="22"/>
          <w:szCs w:val="22"/>
          <w:lang w:eastAsia="en-US"/>
        </w:rPr>
        <w:t>:</w:t>
      </w:r>
    </w:p>
    <w:p w14:paraId="14043308" w14:textId="77777777" w:rsidR="00C9669C" w:rsidRDefault="00C50714" w:rsidP="00C9669C">
      <w:pPr>
        <w:numPr>
          <w:ilvl w:val="1"/>
          <w:numId w:val="16"/>
        </w:numPr>
        <w:rPr>
          <w:rFonts w:asciiTheme="minorHAnsi" w:eastAsia="MS Gothic" w:hAnsiTheme="minorHAnsi"/>
          <w:sz w:val="22"/>
          <w:szCs w:val="22"/>
          <w:lang w:eastAsia="en-US"/>
        </w:rPr>
      </w:pPr>
      <w:r w:rsidRPr="00C22F4A">
        <w:rPr>
          <w:rFonts w:asciiTheme="minorHAnsi" w:eastAsia="MS Gothic" w:hAnsiTheme="minorHAnsi"/>
          <w:sz w:val="22"/>
          <w:szCs w:val="22"/>
          <w:lang w:eastAsia="en-US"/>
        </w:rPr>
        <w:t>Contact details for at least two references from previous clients for whom similar work has been undertaken.</w:t>
      </w:r>
    </w:p>
    <w:p w14:paraId="2BCAD34E" w14:textId="6F726E73" w:rsidR="007D2617" w:rsidRPr="00C9669C" w:rsidRDefault="007D2617" w:rsidP="00C9669C">
      <w:pPr>
        <w:numPr>
          <w:ilvl w:val="0"/>
          <w:numId w:val="16"/>
        </w:numPr>
        <w:rPr>
          <w:rFonts w:asciiTheme="minorHAnsi" w:eastAsia="MS Gothic" w:hAnsiTheme="minorHAnsi"/>
          <w:b/>
          <w:bCs/>
          <w:sz w:val="22"/>
          <w:szCs w:val="22"/>
          <w:lang w:eastAsia="en-US"/>
        </w:rPr>
      </w:pPr>
      <w:r w:rsidRPr="00C9669C">
        <w:rPr>
          <w:rFonts w:asciiTheme="minorHAnsi" w:eastAsia="MS Gothic" w:hAnsiTheme="minorHAnsi"/>
          <w:b/>
          <w:bCs/>
          <w:sz w:val="22"/>
          <w:szCs w:val="22"/>
          <w:lang w:eastAsia="en-US"/>
        </w:rPr>
        <w:t>A signed copy of the document “Annex - Suppliers Ethical Standards Declaration”</w:t>
      </w:r>
    </w:p>
    <w:p w14:paraId="1F1914DB" w14:textId="77777777" w:rsidR="007D2617" w:rsidRPr="007D2617" w:rsidRDefault="007D2617" w:rsidP="007D2617">
      <w:pPr>
        <w:jc w:val="both"/>
        <w:rPr>
          <w:rFonts w:asciiTheme="minorHAnsi" w:eastAsia="MS Gothic" w:hAnsiTheme="minorHAnsi" w:cs="Calibri"/>
          <w:color w:val="000000"/>
          <w:sz w:val="22"/>
          <w:szCs w:val="22"/>
          <w:lang w:eastAsia="en-GB"/>
          <w14:ligatures w14:val="none"/>
        </w:rPr>
      </w:pPr>
    </w:p>
    <w:p w14:paraId="2041CDE8" w14:textId="77777777" w:rsidR="007D2617" w:rsidRPr="007D2617" w:rsidRDefault="007D2617" w:rsidP="007D2617">
      <w:pPr>
        <w:jc w:val="both"/>
        <w:rPr>
          <w:rFonts w:asciiTheme="minorHAnsi" w:eastAsia="MS Gothic" w:hAnsiTheme="minorHAnsi" w:cs="Calibri"/>
          <w:color w:val="000000"/>
          <w:sz w:val="22"/>
          <w:szCs w:val="22"/>
          <w:lang w:eastAsia="en-GB"/>
          <w14:ligatures w14:val="none"/>
        </w:rPr>
      </w:pPr>
      <w:r w:rsidRPr="007D2617">
        <w:rPr>
          <w:rFonts w:asciiTheme="minorHAnsi" w:eastAsia="MS Gothic" w:hAnsiTheme="minorHAnsi" w:cs="Calibri"/>
          <w:color w:val="000000"/>
          <w:sz w:val="22"/>
          <w:szCs w:val="22"/>
          <w:lang w:eastAsia="en-GB"/>
          <w14:ligatures w14:val="none"/>
        </w:rPr>
        <w:t xml:space="preserve">All consultants, ltd or sole trader, must be registered in accordance with the legal requirements at their base. The consultant must be able to submit documentation that proves that they are meeting all legal and tax obligation for the consultancy. </w:t>
      </w:r>
    </w:p>
    <w:p w14:paraId="448DC3DA" w14:textId="77777777" w:rsidR="00FA7285" w:rsidRPr="00C22F4A" w:rsidRDefault="00FA7285" w:rsidP="00FA7285">
      <w:pPr>
        <w:rPr>
          <w:rFonts w:eastAsia="MS Gothic"/>
          <w:lang w:eastAsia="en-US"/>
        </w:rPr>
      </w:pPr>
    </w:p>
    <w:p w14:paraId="67E49399" w14:textId="79F20C14" w:rsidR="007D2617" w:rsidRPr="00640197" w:rsidRDefault="007D2617" w:rsidP="0010595C">
      <w:pPr>
        <w:spacing w:after="160" w:line="259" w:lineRule="auto"/>
        <w:jc w:val="both"/>
        <w:rPr>
          <w:rFonts w:asciiTheme="minorHAnsi" w:eastAsia="Calibri" w:hAnsiTheme="minorHAnsi"/>
          <w:b/>
          <w:bCs/>
          <w:sz w:val="22"/>
          <w:szCs w:val="22"/>
          <w:lang w:eastAsia="en-US" w:bidi="he-IL"/>
        </w:rPr>
      </w:pPr>
      <w:r w:rsidRPr="007D2617">
        <w:rPr>
          <w:rFonts w:asciiTheme="minorHAnsi" w:eastAsia="Calibri" w:hAnsiTheme="minorHAnsi" w:cs="Arial"/>
          <w:b/>
          <w:bCs/>
          <w:kern w:val="2"/>
          <w:sz w:val="22"/>
          <w:szCs w:val="22"/>
          <w:lang w:eastAsia="en-US" w:bidi="he-IL"/>
        </w:rPr>
        <w:t>Closing date for questions</w:t>
      </w:r>
      <w:r w:rsidRPr="007D2617">
        <w:rPr>
          <w:rFonts w:asciiTheme="minorHAnsi" w:eastAsia="Calibri" w:hAnsiTheme="minorHAnsi" w:cs="Arial"/>
          <w:color w:val="E97132" w:themeColor="accent2"/>
          <w:kern w:val="2"/>
          <w:sz w:val="22"/>
          <w:szCs w:val="22"/>
          <w:lang w:eastAsia="en-US" w:bidi="he-IL"/>
        </w:rPr>
        <w:t xml:space="preserve">: </w:t>
      </w:r>
      <w:r w:rsidRPr="007D2617">
        <w:rPr>
          <w:rFonts w:asciiTheme="minorHAnsi" w:eastAsia="Calibri" w:hAnsiTheme="minorHAnsi" w:cs="Arial"/>
          <w:kern w:val="2"/>
          <w:sz w:val="22"/>
          <w:szCs w:val="22"/>
          <w:lang w:eastAsia="en-US" w:bidi="he-IL"/>
        </w:rPr>
        <w:t xml:space="preserve">All questions to be sent to </w:t>
      </w:r>
      <w:hyperlink r:id="rId12" w:history="1">
        <w:r w:rsidR="00994EA7" w:rsidRPr="00B72745">
          <w:rPr>
            <w:rStyle w:val="Hyperlink"/>
            <w:rFonts w:asciiTheme="minorHAnsi" w:eastAsia="Calibri" w:hAnsiTheme="minorHAnsi" w:cs="Arial"/>
            <w:kern w:val="2"/>
            <w:sz w:val="22"/>
            <w:szCs w:val="22"/>
            <w:lang w:eastAsia="en-US" w:bidi="he-IL"/>
          </w:rPr>
          <w:t>adva.rodogovsky@nrc.no</w:t>
        </w:r>
      </w:hyperlink>
      <w:r w:rsidR="00994EA7">
        <w:rPr>
          <w:rFonts w:asciiTheme="minorHAnsi" w:eastAsia="Calibri" w:hAnsiTheme="minorHAnsi" w:cs="Arial"/>
          <w:kern w:val="2"/>
          <w:sz w:val="22"/>
          <w:szCs w:val="22"/>
          <w:lang w:eastAsia="en-US" w:bidi="he-IL"/>
        </w:rPr>
        <w:t xml:space="preserve"> before </w:t>
      </w:r>
      <w:r w:rsidR="003B3E70" w:rsidRPr="00640197">
        <w:rPr>
          <w:rFonts w:asciiTheme="minorHAnsi" w:eastAsia="Calibri" w:hAnsiTheme="minorHAnsi" w:cs="Arial"/>
          <w:b/>
          <w:bCs/>
          <w:kern w:val="2"/>
          <w:sz w:val="22"/>
          <w:szCs w:val="22"/>
          <w:lang w:eastAsia="en-US" w:bidi="he-IL"/>
        </w:rPr>
        <w:t xml:space="preserve">January </w:t>
      </w:r>
      <w:r w:rsidR="00D9223B">
        <w:rPr>
          <w:rFonts w:asciiTheme="minorHAnsi" w:eastAsia="Calibri" w:hAnsiTheme="minorHAnsi" w:cs="Arial"/>
          <w:b/>
          <w:bCs/>
          <w:kern w:val="2"/>
          <w:sz w:val="22"/>
          <w:szCs w:val="22"/>
          <w:lang w:eastAsia="en-US" w:bidi="he-IL"/>
        </w:rPr>
        <w:t>6</w:t>
      </w:r>
      <w:proofErr w:type="gramStart"/>
      <w:r w:rsidR="00D9223B">
        <w:rPr>
          <w:rFonts w:asciiTheme="minorHAnsi" w:eastAsia="Calibri" w:hAnsiTheme="minorHAnsi" w:cs="Arial"/>
          <w:b/>
          <w:bCs/>
          <w:kern w:val="2"/>
          <w:sz w:val="22"/>
          <w:szCs w:val="22"/>
          <w:lang w:eastAsia="en-US" w:bidi="he-IL"/>
        </w:rPr>
        <w:t>th</w:t>
      </w:r>
      <w:r w:rsidR="003B3E70" w:rsidRPr="00640197">
        <w:rPr>
          <w:rFonts w:asciiTheme="minorHAnsi" w:eastAsia="Calibri" w:hAnsiTheme="minorHAnsi" w:cs="Arial"/>
          <w:b/>
          <w:bCs/>
          <w:kern w:val="2"/>
          <w:sz w:val="22"/>
          <w:szCs w:val="22"/>
          <w:lang w:eastAsia="en-US" w:bidi="he-IL"/>
        </w:rPr>
        <w:t xml:space="preserve"> </w:t>
      </w:r>
      <w:r w:rsidR="00712042" w:rsidRPr="00640197">
        <w:rPr>
          <w:rFonts w:asciiTheme="minorHAnsi" w:eastAsia="Calibri" w:hAnsiTheme="minorHAnsi" w:cs="Arial"/>
          <w:b/>
          <w:bCs/>
          <w:kern w:val="2"/>
          <w:sz w:val="22"/>
          <w:szCs w:val="22"/>
          <w:lang w:eastAsia="en-US" w:bidi="he-IL"/>
        </w:rPr>
        <w:t xml:space="preserve"> 202</w:t>
      </w:r>
      <w:r w:rsidR="00571B0D" w:rsidRPr="00640197">
        <w:rPr>
          <w:rFonts w:asciiTheme="minorHAnsi" w:eastAsia="Calibri" w:hAnsiTheme="minorHAnsi" w:cs="Arial"/>
          <w:b/>
          <w:bCs/>
          <w:kern w:val="2"/>
          <w:sz w:val="22"/>
          <w:szCs w:val="22"/>
          <w:lang w:eastAsia="en-US" w:bidi="he-IL"/>
        </w:rPr>
        <w:t>5</w:t>
      </w:r>
      <w:proofErr w:type="gramEnd"/>
      <w:r w:rsidRPr="00640197">
        <w:rPr>
          <w:rFonts w:asciiTheme="minorHAnsi" w:eastAsia="Calibri" w:hAnsiTheme="minorHAnsi" w:cs="Arial"/>
          <w:b/>
          <w:bCs/>
          <w:kern w:val="2"/>
          <w:sz w:val="22"/>
          <w:szCs w:val="22"/>
          <w:lang w:eastAsia="en-US" w:bidi="he-IL"/>
        </w:rPr>
        <w:t xml:space="preserve"> </w:t>
      </w:r>
    </w:p>
    <w:p w14:paraId="46FF5263" w14:textId="55C64789" w:rsidR="007D2617" w:rsidRPr="007D2617" w:rsidRDefault="007D2617" w:rsidP="007D2617">
      <w:pPr>
        <w:spacing w:after="160" w:line="259" w:lineRule="auto"/>
        <w:jc w:val="both"/>
        <w:rPr>
          <w:rFonts w:asciiTheme="minorHAnsi" w:eastAsia="Calibri" w:hAnsiTheme="minorHAnsi" w:cs="Arial"/>
          <w:b/>
          <w:bCs/>
          <w:kern w:val="2"/>
          <w:sz w:val="22"/>
          <w:szCs w:val="22"/>
          <w:lang w:eastAsia="en-US" w:bidi="he-IL"/>
        </w:rPr>
      </w:pPr>
      <w:r w:rsidRPr="007D2617">
        <w:rPr>
          <w:rFonts w:asciiTheme="minorHAnsi" w:eastAsia="Calibri" w:hAnsiTheme="minorHAnsi" w:cs="Arial"/>
          <w:b/>
          <w:bCs/>
          <w:kern w:val="2"/>
          <w:sz w:val="22"/>
          <w:szCs w:val="22"/>
          <w:lang w:eastAsia="en-US" w:bidi="he-IL"/>
        </w:rPr>
        <w:t>Closing date for submission</w:t>
      </w:r>
      <w:r w:rsidR="00D16A66" w:rsidRPr="004D4CD0">
        <w:rPr>
          <w:rFonts w:asciiTheme="minorHAnsi" w:eastAsia="Calibri" w:hAnsiTheme="minorHAnsi" w:cs="Arial"/>
          <w:b/>
          <w:bCs/>
          <w:kern w:val="2"/>
          <w:sz w:val="22"/>
          <w:szCs w:val="22"/>
          <w:lang w:eastAsia="en-US" w:bidi="he-IL"/>
        </w:rPr>
        <w:t>s</w:t>
      </w:r>
      <w:r w:rsidRPr="007D2617">
        <w:rPr>
          <w:rFonts w:asciiTheme="minorHAnsi" w:eastAsia="Calibri" w:hAnsiTheme="minorHAnsi" w:cs="Arial"/>
          <w:b/>
          <w:bCs/>
          <w:kern w:val="2"/>
          <w:sz w:val="22"/>
          <w:szCs w:val="22"/>
          <w:lang w:eastAsia="en-US" w:bidi="he-IL"/>
        </w:rPr>
        <w:t>:</w:t>
      </w:r>
      <w:r w:rsidRPr="007D2617">
        <w:rPr>
          <w:rFonts w:asciiTheme="minorHAnsi" w:eastAsia="Calibri" w:hAnsiTheme="minorHAnsi" w:cs="Arial"/>
          <w:kern w:val="2"/>
          <w:sz w:val="22"/>
          <w:szCs w:val="22"/>
          <w:lang w:eastAsia="en-US" w:bidi="he-IL"/>
        </w:rPr>
        <w:t xml:space="preserve"> All complete proposals are to be received by NRC at </w:t>
      </w:r>
      <w:hyperlink r:id="rId13" w:history="1">
        <w:r w:rsidRPr="007D2617">
          <w:rPr>
            <w:rFonts w:asciiTheme="minorHAnsi" w:eastAsia="Calibri" w:hAnsiTheme="minorHAnsi" w:cs="Arial"/>
            <w:kern w:val="2"/>
            <w:sz w:val="22"/>
            <w:szCs w:val="22"/>
            <w:u w:val="single"/>
            <w:lang w:eastAsia="en-US" w:bidi="he-IL"/>
          </w:rPr>
          <w:t>adva.rodogovsky@nrc.no</w:t>
        </w:r>
      </w:hyperlink>
      <w:r w:rsidRPr="007D2617">
        <w:rPr>
          <w:rFonts w:asciiTheme="minorHAnsi" w:eastAsia="Calibri" w:hAnsiTheme="minorHAnsi" w:cs="Arial"/>
          <w:kern w:val="2"/>
          <w:sz w:val="22"/>
          <w:szCs w:val="22"/>
          <w:lang w:eastAsia="en-US" w:bidi="he-IL"/>
        </w:rPr>
        <w:t xml:space="preserve"> by </w:t>
      </w:r>
      <w:r w:rsidR="00D9223B" w:rsidRPr="00D9223B">
        <w:rPr>
          <w:rFonts w:asciiTheme="minorHAnsi" w:eastAsia="Calibri" w:hAnsiTheme="minorHAnsi" w:cs="Arial"/>
          <w:b/>
          <w:bCs/>
          <w:kern w:val="2"/>
          <w:sz w:val="22"/>
          <w:szCs w:val="22"/>
          <w:lang w:eastAsia="en-US" w:bidi="he-IL"/>
        </w:rPr>
        <w:t>1</w:t>
      </w:r>
      <w:r w:rsidR="007B1E94" w:rsidRPr="00D9223B">
        <w:rPr>
          <w:rFonts w:asciiTheme="minorHAnsi" w:eastAsia="Calibri" w:hAnsiTheme="minorHAnsi" w:cs="Arial"/>
          <w:b/>
          <w:bCs/>
          <w:kern w:val="2"/>
          <w:sz w:val="22"/>
          <w:szCs w:val="22"/>
          <w:lang w:eastAsia="en-US" w:bidi="he-IL"/>
        </w:rPr>
        <w:t>6</w:t>
      </w:r>
      <w:r w:rsidR="004B269F" w:rsidRPr="00D9223B">
        <w:rPr>
          <w:rFonts w:asciiTheme="minorHAnsi" w:eastAsia="Calibri" w:hAnsiTheme="minorHAnsi" w:cs="Arial"/>
          <w:b/>
          <w:bCs/>
          <w:kern w:val="2"/>
          <w:sz w:val="22"/>
          <w:szCs w:val="22"/>
          <w:vertAlign w:val="superscript"/>
          <w:lang w:eastAsia="en-US" w:bidi="he-IL"/>
        </w:rPr>
        <w:t>th</w:t>
      </w:r>
      <w:r w:rsidR="004B269F" w:rsidRPr="00D9223B">
        <w:rPr>
          <w:rFonts w:asciiTheme="minorHAnsi" w:eastAsia="Calibri" w:hAnsiTheme="minorHAnsi" w:cs="Arial"/>
          <w:b/>
          <w:bCs/>
          <w:kern w:val="2"/>
          <w:sz w:val="22"/>
          <w:szCs w:val="22"/>
          <w:lang w:eastAsia="en-US" w:bidi="he-IL"/>
        </w:rPr>
        <w:t xml:space="preserve"> </w:t>
      </w:r>
      <w:r w:rsidR="00712042">
        <w:rPr>
          <w:rFonts w:asciiTheme="minorHAnsi" w:eastAsia="Calibri" w:hAnsiTheme="minorHAnsi" w:cs="Arial"/>
          <w:b/>
          <w:bCs/>
          <w:kern w:val="2"/>
          <w:sz w:val="22"/>
          <w:szCs w:val="22"/>
          <w:lang w:eastAsia="en-US" w:bidi="he-IL"/>
        </w:rPr>
        <w:t xml:space="preserve">January </w:t>
      </w:r>
      <w:proofErr w:type="gramStart"/>
      <w:r w:rsidR="00712042">
        <w:rPr>
          <w:rFonts w:asciiTheme="minorHAnsi" w:eastAsia="Calibri" w:hAnsiTheme="minorHAnsi" w:cs="Arial"/>
          <w:b/>
          <w:bCs/>
          <w:kern w:val="2"/>
          <w:sz w:val="22"/>
          <w:szCs w:val="22"/>
          <w:lang w:eastAsia="en-US" w:bidi="he-IL"/>
        </w:rPr>
        <w:t xml:space="preserve">2025  </w:t>
      </w:r>
      <w:r w:rsidRPr="007D2617">
        <w:rPr>
          <w:rFonts w:asciiTheme="minorHAnsi" w:eastAsia="Calibri" w:hAnsiTheme="minorHAnsi" w:cs="Arial"/>
          <w:b/>
          <w:bCs/>
          <w:kern w:val="2"/>
          <w:sz w:val="22"/>
          <w:szCs w:val="22"/>
          <w:lang w:eastAsia="en-US" w:bidi="he-IL"/>
        </w:rPr>
        <w:t>23:59</w:t>
      </w:r>
      <w:proofErr w:type="gramEnd"/>
      <w:r w:rsidRPr="007D2617">
        <w:rPr>
          <w:rFonts w:asciiTheme="minorHAnsi" w:eastAsia="Calibri" w:hAnsiTheme="minorHAnsi" w:cs="Arial"/>
          <w:b/>
          <w:bCs/>
          <w:kern w:val="2"/>
          <w:sz w:val="22"/>
          <w:szCs w:val="22"/>
          <w:lang w:eastAsia="en-US" w:bidi="he-IL"/>
        </w:rPr>
        <w:t xml:space="preserve"> GMT</w:t>
      </w:r>
    </w:p>
    <w:p w14:paraId="4C0878D4" w14:textId="77777777" w:rsidR="007D2617" w:rsidRPr="007D2617" w:rsidRDefault="007D2617" w:rsidP="007D2617">
      <w:p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All applicants will be contacted with formal notification of final selection or information about any delay in the process.</w:t>
      </w:r>
    </w:p>
    <w:p w14:paraId="657EECD5" w14:textId="77777777" w:rsidR="007D2617" w:rsidRPr="007D2617" w:rsidRDefault="007D2617" w:rsidP="001D5356">
      <w:pPr>
        <w:spacing w:after="160" w:line="259" w:lineRule="auto"/>
        <w:jc w:val="both"/>
        <w:rPr>
          <w:rFonts w:asciiTheme="minorHAnsi" w:eastAsia="MS Gothic" w:hAnsiTheme="minorHAnsi" w:cs="Calibri"/>
          <w:b/>
          <w:bCs/>
          <w:color w:val="FF7602"/>
          <w:sz w:val="22"/>
          <w:szCs w:val="22"/>
          <w:lang w:eastAsia="en-US"/>
          <w14:ligatures w14:val="none"/>
        </w:rPr>
      </w:pPr>
      <w:r w:rsidRPr="007D2617">
        <w:rPr>
          <w:rFonts w:asciiTheme="minorHAnsi" w:eastAsia="MS Gothic" w:hAnsiTheme="minorHAnsi" w:cs="Calibri"/>
          <w:b/>
          <w:bCs/>
          <w:color w:val="FF7602"/>
          <w:sz w:val="22"/>
          <w:szCs w:val="22"/>
          <w:lang w:eastAsia="en-US"/>
          <w14:ligatures w14:val="none"/>
        </w:rPr>
        <w:t>Evaluation Criteria</w:t>
      </w:r>
    </w:p>
    <w:p w14:paraId="51508DF4" w14:textId="77777777" w:rsidR="007D2617" w:rsidRPr="007D2617" w:rsidRDefault="007D2617" w:rsidP="007D2617">
      <w:p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Proposals will be evaluated based on:</w:t>
      </w:r>
    </w:p>
    <w:p w14:paraId="1A62BD08" w14:textId="4885DA08" w:rsidR="007D2617" w:rsidRPr="007D2617" w:rsidRDefault="007D2617" w:rsidP="00783E16">
      <w:pPr>
        <w:numPr>
          <w:ilvl w:val="0"/>
          <w:numId w:val="7"/>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Technical Proposal</w:t>
      </w:r>
      <w:r w:rsidR="001300F3" w:rsidRPr="004D4CD0">
        <w:rPr>
          <w:rFonts w:asciiTheme="minorHAnsi" w:eastAsia="Calibri" w:hAnsiTheme="minorHAnsi" w:cs="Arial"/>
          <w:b/>
          <w:bCs/>
          <w:kern w:val="2"/>
          <w:sz w:val="22"/>
          <w:szCs w:val="22"/>
          <w:lang w:eastAsia="en-US" w:bidi="he-IL"/>
        </w:rPr>
        <w:t xml:space="preserve">: </w:t>
      </w:r>
      <w:r w:rsidRPr="007D2617">
        <w:rPr>
          <w:rFonts w:asciiTheme="minorHAnsi" w:eastAsia="Calibri" w:hAnsiTheme="minorHAnsi" w:cs="Arial"/>
          <w:kern w:val="2"/>
          <w:sz w:val="22"/>
          <w:szCs w:val="22"/>
          <w:lang w:eastAsia="en-US" w:bidi="he-IL"/>
        </w:rPr>
        <w:t xml:space="preserve">Clarity, feasibility, and comprehensiveness of the proposed approach </w:t>
      </w:r>
      <w:r w:rsidR="001300F3" w:rsidRPr="004D4CD0">
        <w:rPr>
          <w:rFonts w:asciiTheme="minorHAnsi" w:eastAsia="Calibri" w:hAnsiTheme="minorHAnsi" w:cs="Arial"/>
          <w:kern w:val="2"/>
          <w:sz w:val="22"/>
          <w:szCs w:val="22"/>
          <w:lang w:eastAsia="en-US" w:bidi="he-IL"/>
        </w:rPr>
        <w:t>5</w:t>
      </w:r>
      <w:r w:rsidRPr="007D2617">
        <w:rPr>
          <w:rFonts w:asciiTheme="minorHAnsi" w:eastAsia="Calibri" w:hAnsiTheme="minorHAnsi" w:cs="Arial"/>
          <w:kern w:val="2"/>
          <w:sz w:val="22"/>
          <w:szCs w:val="22"/>
          <w:lang w:eastAsia="en-US" w:bidi="he-IL"/>
        </w:rPr>
        <w:t xml:space="preserve">0% </w:t>
      </w:r>
    </w:p>
    <w:p w14:paraId="58FAAB41" w14:textId="3E49F5B1" w:rsidR="007D2617" w:rsidRPr="001D75F3" w:rsidRDefault="007D2617" w:rsidP="001D75F3">
      <w:pPr>
        <w:numPr>
          <w:ilvl w:val="0"/>
          <w:numId w:val="7"/>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Experience:</w:t>
      </w:r>
      <w:r w:rsidRPr="007D2617">
        <w:rPr>
          <w:rFonts w:asciiTheme="minorHAnsi" w:eastAsia="Calibri" w:hAnsiTheme="minorHAnsi" w:cs="Arial"/>
          <w:kern w:val="2"/>
          <w:sz w:val="22"/>
          <w:szCs w:val="22"/>
          <w:lang w:eastAsia="en-US" w:bidi="he-IL"/>
        </w:rPr>
        <w:t xml:space="preserve"> Relevant experience in </w:t>
      </w:r>
      <w:r w:rsidR="001D75F3">
        <w:rPr>
          <w:rFonts w:asciiTheme="minorHAnsi" w:eastAsia="Calibri" w:hAnsiTheme="minorHAnsi" w:cs="Arial"/>
          <w:kern w:val="2"/>
          <w:sz w:val="22"/>
          <w:szCs w:val="22"/>
          <w:lang w:eastAsia="en-US" w:bidi="he-IL"/>
        </w:rPr>
        <w:t>i</w:t>
      </w:r>
      <w:r w:rsidR="001D75F3" w:rsidRPr="001D75F3">
        <w:rPr>
          <w:rFonts w:asciiTheme="minorHAnsi" w:eastAsia="Calibri" w:hAnsiTheme="minorHAnsi" w:cs="Arial"/>
          <w:kern w:val="2"/>
          <w:sz w:val="22"/>
          <w:szCs w:val="22"/>
          <w:lang w:eastAsia="en-US" w:bidi="he-IL"/>
        </w:rPr>
        <w:t xml:space="preserve">mproving </w:t>
      </w:r>
      <w:r w:rsidR="001D75F3">
        <w:rPr>
          <w:rFonts w:asciiTheme="minorHAnsi" w:eastAsia="Calibri" w:hAnsiTheme="minorHAnsi" w:cs="Arial"/>
          <w:kern w:val="2"/>
          <w:sz w:val="22"/>
          <w:szCs w:val="22"/>
          <w:lang w:eastAsia="en-US" w:bidi="he-IL"/>
        </w:rPr>
        <w:t>c</w:t>
      </w:r>
      <w:r w:rsidR="001D75F3" w:rsidRPr="001D75F3">
        <w:rPr>
          <w:rFonts w:asciiTheme="minorHAnsi" w:eastAsia="Calibri" w:hAnsiTheme="minorHAnsi" w:cs="Arial"/>
          <w:kern w:val="2"/>
          <w:sz w:val="22"/>
          <w:szCs w:val="22"/>
          <w:lang w:eastAsia="en-US" w:bidi="he-IL"/>
        </w:rPr>
        <w:t xml:space="preserve">ommercial pricing and budgeting strategies </w:t>
      </w:r>
      <w:r w:rsidR="001300F3" w:rsidRPr="001D75F3">
        <w:rPr>
          <w:rFonts w:asciiTheme="minorHAnsi" w:eastAsia="Calibri" w:hAnsiTheme="minorHAnsi" w:cs="Arial"/>
          <w:kern w:val="2"/>
          <w:sz w:val="22"/>
          <w:szCs w:val="22"/>
          <w:lang w:eastAsia="en-US" w:bidi="he-IL"/>
        </w:rPr>
        <w:t>15</w:t>
      </w:r>
      <w:r w:rsidRPr="001D75F3">
        <w:rPr>
          <w:rFonts w:asciiTheme="minorHAnsi" w:eastAsia="Calibri" w:hAnsiTheme="minorHAnsi" w:cs="Arial"/>
          <w:kern w:val="2"/>
          <w:sz w:val="22"/>
          <w:szCs w:val="22"/>
          <w:lang w:eastAsia="en-US" w:bidi="he-IL"/>
        </w:rPr>
        <w:t xml:space="preserve">% </w:t>
      </w:r>
    </w:p>
    <w:p w14:paraId="02E947F3" w14:textId="57393742" w:rsidR="00687DF9" w:rsidRPr="004D4CD0" w:rsidRDefault="00687DF9" w:rsidP="00783E16">
      <w:pPr>
        <w:numPr>
          <w:ilvl w:val="0"/>
          <w:numId w:val="7"/>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Past Performance:</w:t>
      </w:r>
      <w:r w:rsidRPr="007D2617">
        <w:rPr>
          <w:rFonts w:asciiTheme="minorHAnsi" w:eastAsia="Calibri" w:hAnsiTheme="minorHAnsi" w:cs="Arial"/>
          <w:kern w:val="2"/>
          <w:sz w:val="22"/>
          <w:szCs w:val="22"/>
          <w:lang w:eastAsia="en-US" w:bidi="he-IL"/>
        </w:rPr>
        <w:t xml:space="preserve"> Quality of previous similar assignments 1</w:t>
      </w:r>
      <w:r w:rsidR="00433B9F">
        <w:rPr>
          <w:rFonts w:asciiTheme="minorHAnsi" w:eastAsia="Calibri" w:hAnsiTheme="minorHAnsi" w:cs="Arial"/>
          <w:kern w:val="2"/>
          <w:sz w:val="22"/>
          <w:szCs w:val="22"/>
          <w:lang w:eastAsia="en-US" w:bidi="he-IL"/>
        </w:rPr>
        <w:t>0</w:t>
      </w:r>
      <w:r w:rsidRPr="007D2617">
        <w:rPr>
          <w:rFonts w:asciiTheme="minorHAnsi" w:eastAsia="Calibri" w:hAnsiTheme="minorHAnsi" w:cs="Arial"/>
          <w:kern w:val="2"/>
          <w:sz w:val="22"/>
          <w:szCs w:val="22"/>
          <w:lang w:eastAsia="en-US" w:bidi="he-IL"/>
        </w:rPr>
        <w:t xml:space="preserve">% </w:t>
      </w:r>
    </w:p>
    <w:p w14:paraId="63C123F1" w14:textId="65D39C56" w:rsidR="007D2617" w:rsidRPr="007C5196" w:rsidRDefault="007D2617" w:rsidP="007C5196">
      <w:pPr>
        <w:numPr>
          <w:ilvl w:val="0"/>
          <w:numId w:val="7"/>
        </w:num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b/>
          <w:bCs/>
          <w:kern w:val="2"/>
          <w:sz w:val="22"/>
          <w:szCs w:val="22"/>
          <w:lang w:eastAsia="en-US" w:bidi="he-IL"/>
        </w:rPr>
        <w:t>Financial Proposal:</w:t>
      </w:r>
      <w:r w:rsidRPr="007D2617">
        <w:rPr>
          <w:rFonts w:asciiTheme="minorHAnsi" w:eastAsia="Calibri" w:hAnsiTheme="minorHAnsi" w:cs="Arial"/>
          <w:kern w:val="2"/>
          <w:sz w:val="22"/>
          <w:szCs w:val="22"/>
          <w:lang w:eastAsia="en-US" w:bidi="he-IL"/>
        </w:rPr>
        <w:t xml:space="preserve"> Cost-effectiveness and alignment with the scope of work </w:t>
      </w:r>
      <w:r w:rsidR="00433B9F">
        <w:rPr>
          <w:rFonts w:asciiTheme="minorHAnsi" w:eastAsia="Calibri" w:hAnsiTheme="minorHAnsi" w:cs="Arial"/>
          <w:kern w:val="2"/>
          <w:sz w:val="22"/>
          <w:szCs w:val="22"/>
          <w:lang w:eastAsia="en-US" w:bidi="he-IL"/>
        </w:rPr>
        <w:t>25</w:t>
      </w:r>
      <w:r w:rsidRPr="007D2617">
        <w:rPr>
          <w:rFonts w:asciiTheme="minorHAnsi" w:eastAsia="Calibri" w:hAnsiTheme="minorHAnsi" w:cs="Arial"/>
          <w:kern w:val="2"/>
          <w:sz w:val="22"/>
          <w:szCs w:val="22"/>
          <w:lang w:eastAsia="en-US" w:bidi="he-IL"/>
        </w:rPr>
        <w:t xml:space="preserve">% </w:t>
      </w:r>
    </w:p>
    <w:p w14:paraId="6AA98DD9" w14:textId="77777777" w:rsidR="007D2617" w:rsidRPr="007D2617" w:rsidRDefault="007D2617" w:rsidP="00D16A66">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7D2617">
        <w:rPr>
          <w:rFonts w:asciiTheme="minorHAnsi" w:eastAsia="MS Gothic" w:hAnsiTheme="minorHAnsi" w:cstheme="minorHAnsi"/>
          <w:color w:val="FF7602"/>
          <w:sz w:val="28"/>
          <w:szCs w:val="28"/>
          <w:lang w:eastAsia="en-US"/>
        </w:rPr>
        <w:t>Management and Reporting</w:t>
      </w:r>
    </w:p>
    <w:p w14:paraId="05B3A875" w14:textId="1D9273C1" w:rsidR="007D2617" w:rsidRPr="00137CC7" w:rsidRDefault="007D2617" w:rsidP="00765D5D">
      <w:pPr>
        <w:numPr>
          <w:ilvl w:val="0"/>
          <w:numId w:val="21"/>
        </w:numPr>
        <w:spacing w:after="160" w:line="259" w:lineRule="auto"/>
        <w:jc w:val="both"/>
        <w:rPr>
          <w:rFonts w:asciiTheme="minorHAnsi" w:eastAsia="Calibri" w:hAnsiTheme="minorHAnsi" w:cs="Arial"/>
          <w:kern w:val="2"/>
          <w:sz w:val="22"/>
          <w:szCs w:val="22"/>
          <w:lang w:eastAsia="en-US" w:bidi="he-IL"/>
        </w:rPr>
      </w:pPr>
      <w:r w:rsidRPr="00137CC7">
        <w:rPr>
          <w:rFonts w:asciiTheme="minorHAnsi" w:eastAsia="Calibri" w:hAnsiTheme="minorHAnsi" w:cs="Arial"/>
          <w:kern w:val="2"/>
          <w:sz w:val="22"/>
          <w:szCs w:val="22"/>
          <w:lang w:eastAsia="en-US" w:bidi="he-IL"/>
        </w:rPr>
        <w:t xml:space="preserve">The consultant(s) will report to Adva Rodogovsky, senior IPA for commercial </w:t>
      </w:r>
      <w:r w:rsidR="001D75F3" w:rsidRPr="00137CC7">
        <w:rPr>
          <w:rFonts w:asciiTheme="minorHAnsi" w:eastAsia="Calibri" w:hAnsiTheme="minorHAnsi" w:cs="Arial"/>
          <w:kern w:val="2"/>
          <w:sz w:val="22"/>
          <w:szCs w:val="22"/>
          <w:lang w:eastAsia="en-US" w:bidi="he-IL"/>
        </w:rPr>
        <w:t>contracts with</w:t>
      </w:r>
      <w:r w:rsidRPr="00137CC7">
        <w:rPr>
          <w:rFonts w:asciiTheme="minorHAnsi" w:eastAsia="Calibri" w:hAnsiTheme="minorHAnsi" w:cs="Arial"/>
          <w:kern w:val="2"/>
          <w:sz w:val="22"/>
          <w:szCs w:val="22"/>
          <w:lang w:eastAsia="en-US" w:bidi="he-IL"/>
        </w:rPr>
        <w:t xml:space="preserve"> regular updates provided through emails and TEAMS. </w:t>
      </w:r>
    </w:p>
    <w:p w14:paraId="58525630" w14:textId="77777777" w:rsidR="007D2617" w:rsidRPr="007D2617" w:rsidRDefault="007D2617" w:rsidP="00D16A66">
      <w:pPr>
        <w:keepNext/>
        <w:keepLines/>
        <w:pBdr>
          <w:top w:val="single" w:sz="4" w:space="6" w:color="FF7602"/>
        </w:pBdr>
        <w:spacing w:before="240" w:after="240" w:line="259" w:lineRule="auto"/>
        <w:jc w:val="both"/>
        <w:outlineLvl w:val="0"/>
        <w:rPr>
          <w:rFonts w:asciiTheme="minorHAnsi" w:eastAsia="MS Gothic" w:hAnsiTheme="minorHAnsi" w:cstheme="minorHAnsi"/>
          <w:color w:val="FF7602"/>
          <w:sz w:val="28"/>
          <w:szCs w:val="28"/>
          <w:lang w:eastAsia="en-US"/>
        </w:rPr>
      </w:pPr>
      <w:r w:rsidRPr="007D2617">
        <w:rPr>
          <w:rFonts w:asciiTheme="minorHAnsi" w:eastAsia="MS Gothic" w:hAnsiTheme="minorHAnsi" w:cstheme="minorHAnsi"/>
          <w:color w:val="FF7602"/>
          <w:sz w:val="28"/>
          <w:szCs w:val="28"/>
          <w:lang w:eastAsia="en-US"/>
        </w:rPr>
        <w:t>Confidentiality</w:t>
      </w:r>
    </w:p>
    <w:p w14:paraId="69C1466D" w14:textId="77777777" w:rsidR="007D2617" w:rsidRPr="007D2617" w:rsidRDefault="007D2617" w:rsidP="007D2617">
      <w:pPr>
        <w:spacing w:after="160" w:line="259" w:lineRule="auto"/>
        <w:jc w:val="both"/>
        <w:rPr>
          <w:rFonts w:asciiTheme="minorHAnsi" w:eastAsia="Calibri" w:hAnsiTheme="minorHAnsi" w:cs="Arial"/>
          <w:kern w:val="2"/>
          <w:sz w:val="22"/>
          <w:szCs w:val="22"/>
          <w:lang w:eastAsia="en-US" w:bidi="he-IL"/>
        </w:rPr>
      </w:pPr>
      <w:r w:rsidRPr="007D2617">
        <w:rPr>
          <w:rFonts w:asciiTheme="minorHAnsi" w:eastAsia="Calibri" w:hAnsiTheme="minorHAnsi" w:cs="Arial"/>
          <w:kern w:val="2"/>
          <w:sz w:val="22"/>
          <w:szCs w:val="22"/>
          <w:lang w:eastAsia="en-US" w:bidi="he-IL"/>
        </w:rPr>
        <w:t xml:space="preserve">All information shared </w:t>
      </w:r>
      <w:proofErr w:type="gramStart"/>
      <w:r w:rsidRPr="007D2617">
        <w:rPr>
          <w:rFonts w:asciiTheme="minorHAnsi" w:eastAsia="Calibri" w:hAnsiTheme="minorHAnsi" w:cs="Arial"/>
          <w:kern w:val="2"/>
          <w:sz w:val="22"/>
          <w:szCs w:val="22"/>
          <w:lang w:eastAsia="en-US" w:bidi="he-IL"/>
        </w:rPr>
        <w:t>during the course of</w:t>
      </w:r>
      <w:proofErr w:type="gramEnd"/>
      <w:r w:rsidRPr="007D2617">
        <w:rPr>
          <w:rFonts w:asciiTheme="minorHAnsi" w:eastAsia="Calibri" w:hAnsiTheme="minorHAnsi" w:cs="Arial"/>
          <w:kern w:val="2"/>
          <w:sz w:val="22"/>
          <w:szCs w:val="22"/>
          <w:lang w:eastAsia="en-US" w:bidi="he-IL"/>
        </w:rPr>
        <w:t xml:space="preserve"> this consultancy will be treated as confidential and will not be disclosed without prior written consent from NRC.</w:t>
      </w:r>
    </w:p>
    <w:p w14:paraId="36B7BF61" w14:textId="77777777" w:rsidR="007D2617" w:rsidRPr="007D2617" w:rsidRDefault="007D2617" w:rsidP="007D2617">
      <w:pPr>
        <w:spacing w:after="160" w:line="259" w:lineRule="auto"/>
        <w:jc w:val="both"/>
        <w:rPr>
          <w:rFonts w:ascii="Libre Franklin" w:eastAsia="Calibri" w:hAnsi="Libre Franklin" w:cs="Arial"/>
          <w:kern w:val="2"/>
          <w:sz w:val="20"/>
          <w:szCs w:val="20"/>
          <w:lang w:eastAsia="en-US" w:bidi="he-IL"/>
        </w:rPr>
      </w:pPr>
    </w:p>
    <w:p w14:paraId="237F941D" w14:textId="60B69929" w:rsidR="005D6D25" w:rsidRPr="005D6D25" w:rsidRDefault="005D6D25" w:rsidP="00FA7285">
      <w:pPr>
        <w:pStyle w:val="Heading3"/>
        <w:rPr>
          <w:lang w:eastAsia="en-GB" w:bidi="he-IL"/>
          <w14:ligatures w14:val="none"/>
        </w:rPr>
      </w:pPr>
      <w:r>
        <w:rPr>
          <w:rFonts w:ascii="Calibri" w:eastAsia="Calibri" w:hAnsi="Calibri" w:cs="Calibri"/>
          <w:b/>
          <w:bCs/>
          <w:color w:val="000000" w:themeColor="text1"/>
        </w:rPr>
        <w:br w:type="page"/>
      </w:r>
    </w:p>
    <w:p w14:paraId="1A2626F5" w14:textId="2EF3035A" w:rsidR="00517E91" w:rsidRPr="00C91925" w:rsidRDefault="00D16A66" w:rsidP="00C91925">
      <w:pPr>
        <w:spacing w:after="160" w:line="259" w:lineRule="auto"/>
        <w:rPr>
          <w:rFonts w:asciiTheme="minorHAnsi" w:eastAsia="MS Gothic" w:hAnsiTheme="minorHAnsi" w:cstheme="minorBidi"/>
          <w:color w:val="000000" w:themeColor="text1"/>
          <w:sz w:val="22"/>
          <w:szCs w:val="22"/>
          <w:lang w:eastAsia="en-GB"/>
        </w:rPr>
      </w:pPr>
      <w:proofErr w:type="gramStart"/>
      <w:r>
        <w:rPr>
          <w:rFonts w:ascii="Calibri" w:eastAsia="Calibri" w:hAnsi="Calibri" w:cs="Calibri"/>
          <w:b/>
          <w:bCs/>
          <w:color w:val="000000" w:themeColor="text1"/>
          <w:sz w:val="28"/>
          <w:szCs w:val="28"/>
        </w:rPr>
        <w:t>Annex :</w:t>
      </w:r>
      <w:proofErr w:type="gramEnd"/>
      <w:r>
        <w:rPr>
          <w:rFonts w:ascii="Calibri" w:eastAsia="Calibri" w:hAnsi="Calibri" w:cs="Calibri"/>
          <w:b/>
          <w:bCs/>
          <w:color w:val="000000" w:themeColor="text1"/>
          <w:sz w:val="28"/>
          <w:szCs w:val="28"/>
        </w:rPr>
        <w:t xml:space="preserve"> </w:t>
      </w:r>
      <w:r w:rsidR="498E3250" w:rsidRPr="43745DEC">
        <w:rPr>
          <w:rFonts w:ascii="Calibri" w:eastAsia="Calibri" w:hAnsi="Calibri" w:cs="Calibri"/>
          <w:b/>
          <w:bCs/>
          <w:color w:val="000000" w:themeColor="text1"/>
          <w:sz w:val="28"/>
          <w:szCs w:val="28"/>
        </w:rPr>
        <w:t>Ethical Standards Declaration for all Supply, Service and Works Contractors</w:t>
      </w:r>
    </w:p>
    <w:p w14:paraId="7E0D6979" w14:textId="129112F2" w:rsidR="00517E91" w:rsidRDefault="00517E91" w:rsidP="43745DEC">
      <w:pPr>
        <w:rPr>
          <w:color w:val="000000" w:themeColor="text1"/>
          <w:sz w:val="32"/>
          <w:szCs w:val="32"/>
        </w:rPr>
      </w:pPr>
    </w:p>
    <w:p w14:paraId="726AA8AB" w14:textId="3F9B908B" w:rsidR="00517E91" w:rsidRDefault="498E3250" w:rsidP="43745DEC">
      <w:pPr>
        <w:jc w:val="both"/>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NRC as a humanitarian organisation expects the contractors to have high ethical standards. “</w:t>
      </w:r>
      <w:proofErr w:type="gramStart"/>
      <w:r w:rsidRPr="43745DEC">
        <w:rPr>
          <w:rFonts w:ascii="Calibri" w:eastAsia="Calibri" w:hAnsi="Calibri" w:cs="Calibri"/>
          <w:color w:val="000000" w:themeColor="text1"/>
          <w:sz w:val="22"/>
          <w:szCs w:val="22"/>
        </w:rPr>
        <w:t>all</w:t>
      </w:r>
      <w:proofErr w:type="gramEnd"/>
      <w:r w:rsidRPr="43745DEC">
        <w:rPr>
          <w:rFonts w:ascii="Calibri" w:eastAsia="Calibri" w:hAnsi="Calibri" w:cs="Calibri"/>
          <w:color w:val="000000" w:themeColor="text1"/>
          <w:sz w:val="22"/>
          <w:szCs w:val="22"/>
        </w:rPr>
        <w:t xml:space="preserve"> contractors supplying or planning to supply goods, works or services valued USD 10.000 or more cumulatively within a 12 months’ period must sign this declaration”</w:t>
      </w:r>
      <w:r w:rsidRPr="43745DEC">
        <w:rPr>
          <w:rFonts w:ascii="Calibri" w:eastAsia="Calibri" w:hAnsi="Calibri" w:cs="Calibri"/>
          <w:color w:val="000000" w:themeColor="text1"/>
          <w:sz w:val="22"/>
          <w:szCs w:val="22"/>
          <w:lang w:val="en-US"/>
        </w:rPr>
        <w:t xml:space="preserve">. </w:t>
      </w:r>
    </w:p>
    <w:p w14:paraId="054BADC2" w14:textId="0A4BB8B7" w:rsidR="00517E91" w:rsidRDefault="00517E91" w:rsidP="43745DEC">
      <w:pPr>
        <w:jc w:val="both"/>
        <w:rPr>
          <w:rFonts w:ascii="Calibri" w:eastAsia="Calibri" w:hAnsi="Calibri" w:cs="Calibri"/>
          <w:color w:val="000000" w:themeColor="text1"/>
          <w:sz w:val="22"/>
          <w:szCs w:val="22"/>
          <w:lang w:val="en-US"/>
        </w:rPr>
      </w:pPr>
    </w:p>
    <w:p w14:paraId="7F83889F" w14:textId="13218CD7" w:rsidR="00517E91" w:rsidRDefault="498E3250" w:rsidP="43745DEC">
      <w:pPr>
        <w:jc w:val="both"/>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This declaration will be kept on file for a period of 10 years and should be updated every year or more often as appropriate.</w:t>
      </w:r>
    </w:p>
    <w:p w14:paraId="11157801" w14:textId="461A5D30" w:rsidR="00517E91" w:rsidRDefault="498E3250" w:rsidP="43745DEC">
      <w:pPr>
        <w:spacing w:before="100" w:after="100"/>
        <w:jc w:val="both"/>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 xml:space="preserve">NRC staff may perform checks to verify that these standards are adhered to.  Should NRC deem that the contractor fails to meet or is not taking appropriate steps to meet these standards, </w:t>
      </w:r>
      <w:proofErr w:type="gramStart"/>
      <w:r w:rsidRPr="43745DEC">
        <w:rPr>
          <w:rFonts w:ascii="Calibri" w:eastAsia="Calibri" w:hAnsi="Calibri" w:cs="Calibri"/>
          <w:color w:val="000000" w:themeColor="text1"/>
          <w:sz w:val="22"/>
          <w:szCs w:val="22"/>
          <w:lang w:val="en-US"/>
        </w:rPr>
        <w:t>any and all</w:t>
      </w:r>
      <w:proofErr w:type="gramEnd"/>
      <w:r w:rsidRPr="43745DEC">
        <w:rPr>
          <w:rFonts w:ascii="Calibri" w:eastAsia="Calibri" w:hAnsi="Calibri" w:cs="Calibri"/>
          <w:color w:val="000000" w:themeColor="text1"/>
          <w:sz w:val="22"/>
          <w:szCs w:val="22"/>
          <w:lang w:val="en-US"/>
        </w:rPr>
        <w:t xml:space="preserve"> contracts and agreements with NRC may be terminated. </w:t>
      </w:r>
    </w:p>
    <w:p w14:paraId="69B20576" w14:textId="544414EF" w:rsidR="00517E91" w:rsidRDefault="498E3250" w:rsidP="43745DEC">
      <w:p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Any contractors doing business with Norwegian Refugee Council shall as a </w:t>
      </w:r>
      <w:proofErr w:type="gramStart"/>
      <w:r w:rsidRPr="43745DEC">
        <w:rPr>
          <w:rFonts w:ascii="Calibri" w:eastAsia="Calibri" w:hAnsi="Calibri" w:cs="Calibri"/>
          <w:color w:val="000000" w:themeColor="text1"/>
          <w:sz w:val="22"/>
          <w:szCs w:val="22"/>
        </w:rPr>
        <w:t>minimum;</w:t>
      </w:r>
      <w:proofErr w:type="gramEnd"/>
    </w:p>
    <w:p w14:paraId="59E32D92" w14:textId="2583623D" w:rsidR="00517E91" w:rsidRDefault="498E3250" w:rsidP="43745DEC">
      <w:pPr>
        <w:pStyle w:val="ListParagraph"/>
        <w:numPr>
          <w:ilvl w:val="0"/>
          <w:numId w:val="3"/>
        </w:numPr>
        <w:spacing w:line="276" w:lineRule="auto"/>
        <w:ind w:left="1109" w:hanging="74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Comply with all laws and regulations in effect in the country or countries of business</w:t>
      </w:r>
    </w:p>
    <w:p w14:paraId="2759A1DF" w14:textId="37016E40" w:rsidR="00517E91" w:rsidRDefault="498E3250" w:rsidP="43745DEC">
      <w:pPr>
        <w:spacing w:line="276" w:lineRule="auto"/>
        <w:ind w:left="110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AND</w:t>
      </w:r>
    </w:p>
    <w:p w14:paraId="476A197D" w14:textId="1D66ECCA" w:rsidR="00517E91" w:rsidRDefault="498E3250" w:rsidP="43745DEC">
      <w:pPr>
        <w:pStyle w:val="ListParagraph"/>
        <w:numPr>
          <w:ilvl w:val="0"/>
          <w:numId w:val="3"/>
        </w:numPr>
        <w:spacing w:line="276" w:lineRule="auto"/>
        <w:ind w:left="1109" w:hanging="74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Meet the ethical standards as listed below.  </w:t>
      </w:r>
    </w:p>
    <w:p w14:paraId="0BF0D4A1" w14:textId="39CBD8B9" w:rsidR="00517E91" w:rsidRDefault="498E3250" w:rsidP="43745DEC">
      <w:pPr>
        <w:spacing w:line="276" w:lineRule="auto"/>
        <w:ind w:left="761" w:firstLine="348"/>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 OR</w:t>
      </w:r>
    </w:p>
    <w:p w14:paraId="13E5A85E" w14:textId="57D2EB51" w:rsidR="00517E91" w:rsidRDefault="498E3250" w:rsidP="43745DEC">
      <w:pPr>
        <w:spacing w:line="276" w:lineRule="auto"/>
        <w:ind w:left="1109"/>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Positively agree to the standards and be willing to implement changes in their organisation.   </w:t>
      </w:r>
    </w:p>
    <w:p w14:paraId="38AF0EB5" w14:textId="1B1C8386" w:rsidR="00517E91" w:rsidRDefault="498E3250" w:rsidP="43745DEC">
      <w:p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 </w:t>
      </w:r>
    </w:p>
    <w:p w14:paraId="4E0980E8" w14:textId="047A165B" w:rsidR="00517E91" w:rsidRDefault="498E3250" w:rsidP="43745DEC">
      <w:pPr>
        <w:pStyle w:val="ListParagraph"/>
        <w:numPr>
          <w:ilvl w:val="0"/>
          <w:numId w:val="2"/>
        </w:numPr>
        <w:spacing w:after="200" w:line="276" w:lineRule="auto"/>
        <w:rPr>
          <w:rFonts w:ascii="Arial" w:eastAsia="Arial" w:hAnsi="Arial" w:cs="Arial"/>
          <w:color w:val="000000" w:themeColor="text1"/>
        </w:rPr>
      </w:pPr>
      <w:r w:rsidRPr="43745DEC">
        <w:rPr>
          <w:rFonts w:ascii="Arial" w:eastAsia="Arial" w:hAnsi="Arial" w:cs="Arial"/>
          <w:b/>
          <w:bCs/>
          <w:color w:val="000000" w:themeColor="text1"/>
          <w:lang w:val="en-US"/>
        </w:rPr>
        <w:t>Anti-corruption and contractor’s compliance with laws and regulations:</w:t>
      </w:r>
    </w:p>
    <w:p w14:paraId="580E185C" w14:textId="274704B6"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confirms that it is not involved in any form of fraud, corruption, collusion, coercive practice, bribery, involvement in a criminal organization or other illegal activity.</w:t>
      </w:r>
    </w:p>
    <w:p w14:paraId="7935DB38" w14:textId="37E16590"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 xml:space="preserve">Where </w:t>
      </w:r>
      <w:r w:rsidRPr="43745DEC">
        <w:rPr>
          <w:rFonts w:ascii="Calibri" w:eastAsia="Calibri" w:hAnsi="Calibri" w:cs="Calibri"/>
          <w:color w:val="000000" w:themeColor="text1"/>
          <w:sz w:val="22"/>
          <w:szCs w:val="22"/>
        </w:rPr>
        <w:t>any potential conflict of interest exists between the contractor or any of the contractor’s staff members with any NRC staff member, the contractor shall notify NRC in writing of the potential conflict.  NRC shall then determine whether action is required.   A conflict of interest can be due to a relationship with a staff member such as close family etc.</w:t>
      </w:r>
    </w:p>
    <w:p w14:paraId="0B5D9B69" w14:textId="5DE8441A"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will immediately notify senior NRC management if exposed for alleged corruption by representatives of NRC.</w:t>
      </w:r>
    </w:p>
    <w:p w14:paraId="1C59DB45" w14:textId="6B221E86"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 xml:space="preserve">The contractor shall be registered with the relevant government authority </w:t>
      </w:r>
      <w:proofErr w:type="gramStart"/>
      <w:r w:rsidRPr="43745DEC">
        <w:rPr>
          <w:rFonts w:ascii="Calibri" w:eastAsia="Calibri" w:hAnsi="Calibri" w:cs="Calibri"/>
          <w:color w:val="000000" w:themeColor="text1"/>
          <w:sz w:val="22"/>
          <w:szCs w:val="22"/>
          <w:lang w:val="en-US"/>
        </w:rPr>
        <w:t>with regard to</w:t>
      </w:r>
      <w:proofErr w:type="gramEnd"/>
      <w:r w:rsidRPr="43745DEC">
        <w:rPr>
          <w:rFonts w:ascii="Calibri" w:eastAsia="Calibri" w:hAnsi="Calibri" w:cs="Calibri"/>
          <w:color w:val="000000" w:themeColor="text1"/>
          <w:sz w:val="22"/>
          <w:szCs w:val="22"/>
          <w:lang w:val="en-US"/>
        </w:rPr>
        <w:t xml:space="preserve"> taxation.</w:t>
      </w:r>
    </w:p>
    <w:p w14:paraId="48AED45E" w14:textId="23DCD909"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shall pay taxes according to all applicable national laws and regulations.</w:t>
      </w:r>
    </w:p>
    <w:p w14:paraId="197FE517" w14:textId="6C6091E1"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lang w:val="en-US"/>
        </w:rPr>
        <w:t>The contractor warrants that it is not involved in the production or sale of any weapons including anti-personnel mines.</w:t>
      </w:r>
    </w:p>
    <w:p w14:paraId="6643C9BA" w14:textId="1B31E156" w:rsidR="00517E91" w:rsidRDefault="00517E91" w:rsidP="43745DEC">
      <w:pPr>
        <w:spacing w:after="200" w:line="276" w:lineRule="auto"/>
        <w:rPr>
          <w:rFonts w:ascii="Arial" w:eastAsia="Arial" w:hAnsi="Arial" w:cs="Arial"/>
          <w:color w:val="000000" w:themeColor="text1"/>
        </w:rPr>
      </w:pPr>
    </w:p>
    <w:p w14:paraId="5E548069" w14:textId="713AFE46" w:rsidR="00517E91" w:rsidRDefault="498E3250" w:rsidP="43745DEC">
      <w:pPr>
        <w:pStyle w:val="ListParagraph"/>
        <w:numPr>
          <w:ilvl w:val="0"/>
          <w:numId w:val="2"/>
        </w:numPr>
        <w:spacing w:after="200" w:line="276" w:lineRule="auto"/>
        <w:rPr>
          <w:rFonts w:ascii="Arial" w:eastAsia="Arial" w:hAnsi="Arial" w:cs="Arial"/>
          <w:color w:val="000000" w:themeColor="text1"/>
        </w:rPr>
      </w:pPr>
      <w:r w:rsidRPr="43745DEC">
        <w:rPr>
          <w:rFonts w:ascii="Arial" w:eastAsia="Arial" w:hAnsi="Arial" w:cs="Arial"/>
          <w:b/>
          <w:bCs/>
          <w:color w:val="000000" w:themeColor="text1"/>
          <w:lang w:val="en-US"/>
        </w:rPr>
        <w:t>Conditions related to the employees:</w:t>
      </w:r>
    </w:p>
    <w:p w14:paraId="5928735C" w14:textId="365FF0CE"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No workers in our company will be forced, bonded or involuntary prison workers. </w:t>
      </w:r>
    </w:p>
    <w:p w14:paraId="50AFBD74" w14:textId="2DBB1A34"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Workers shall not be required to lodge “deposits” or identity papers with their employer and shall be free to leave their employer after reasonable notice.</w:t>
      </w:r>
    </w:p>
    <w:p w14:paraId="78D2ADA7" w14:textId="36FF5B7A"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Workers, without distinction, shall have the right to join or form trade unions of their own choosing and to bargain collectively.</w:t>
      </w:r>
    </w:p>
    <w:p w14:paraId="350D2C1F" w14:textId="4E894AA6"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Persons under the age of 18 shall not be engaged in work which is hazardous to their health or safety, including night work.</w:t>
      </w:r>
    </w:p>
    <w:p w14:paraId="0A8B58E0" w14:textId="4AF32300"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Employers of persons under the age of 18 must ensure that the working hours and nature of the work does not interfere with the child’s opportunity to complete his/ her education. </w:t>
      </w:r>
    </w:p>
    <w:p w14:paraId="370EBA40" w14:textId="0AF7DAF1"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There shall be no discrimination at the </w:t>
      </w:r>
      <w:proofErr w:type="gramStart"/>
      <w:r w:rsidRPr="43745DEC">
        <w:rPr>
          <w:rFonts w:ascii="Calibri" w:eastAsia="Calibri" w:hAnsi="Calibri" w:cs="Calibri"/>
          <w:color w:val="000000" w:themeColor="text1"/>
          <w:sz w:val="22"/>
          <w:szCs w:val="22"/>
        </w:rPr>
        <w:t>work place</w:t>
      </w:r>
      <w:proofErr w:type="gramEnd"/>
      <w:r w:rsidRPr="43745DEC">
        <w:rPr>
          <w:rFonts w:ascii="Calibri" w:eastAsia="Calibri" w:hAnsi="Calibri" w:cs="Calibri"/>
          <w:color w:val="000000" w:themeColor="text1"/>
          <w:sz w:val="22"/>
          <w:szCs w:val="22"/>
        </w:rPr>
        <w:t xml:space="preserve"> based on ethnic background, religion, age, disability, gender, marital status, sexual orientation, union membership or political affiliation. </w:t>
      </w:r>
    </w:p>
    <w:p w14:paraId="6EAAD965" w14:textId="575EF914"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Measures shall be established to protect workers from sexually intrusive, threatening, insulting or exploitative behaviour, and from discrimination or termination of employment on unjustifiable grounds, e.g. marriage, pregnancy, parenthood or HIV status.</w:t>
      </w:r>
    </w:p>
    <w:p w14:paraId="564F9D56" w14:textId="4F9AB29F"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Physical abuse or punishment, or threats of physical abuse, sexual or other harassment and verbal abuse, as well as other forms of intimidation, shall be prohibited.</w:t>
      </w:r>
    </w:p>
    <w:p w14:paraId="65253AB6" w14:textId="207DB65B"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78F293B3" w14:textId="4B9334B7"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Wages and benefits paid for a standard working week shall meet, at a minimum, national legal standards or industry benchmark standards, whichever is higher. Wages should always be enough to meet basic needs. </w:t>
      </w:r>
    </w:p>
    <w:p w14:paraId="70B45111" w14:textId="6AFCDE0C"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Working hours shall comply with national laws and benchmark industry standards, whichever affords greater protection. It is recommended that working hours do not exceed 48 hours per week (8 hours per day).</w:t>
      </w:r>
    </w:p>
    <w:p w14:paraId="4346CCFD" w14:textId="40413637"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 xml:space="preserve">Workers shall be provided with at least one day off for every </w:t>
      </w:r>
      <w:proofErr w:type="gramStart"/>
      <w:r w:rsidRPr="43745DEC">
        <w:rPr>
          <w:rFonts w:ascii="Calibri" w:eastAsia="Calibri" w:hAnsi="Calibri" w:cs="Calibri"/>
          <w:color w:val="000000" w:themeColor="text1"/>
          <w:sz w:val="22"/>
          <w:szCs w:val="22"/>
        </w:rPr>
        <w:t>7 day</w:t>
      </w:r>
      <w:proofErr w:type="gramEnd"/>
      <w:r w:rsidRPr="43745DEC">
        <w:rPr>
          <w:rFonts w:ascii="Calibri" w:eastAsia="Calibri" w:hAnsi="Calibri" w:cs="Calibri"/>
          <w:color w:val="000000" w:themeColor="text1"/>
          <w:sz w:val="22"/>
          <w:szCs w:val="22"/>
        </w:rPr>
        <w:t xml:space="preserve"> period.</w:t>
      </w:r>
    </w:p>
    <w:p w14:paraId="0A85D786" w14:textId="61F17499"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All workers are entitled to a contract of employment that shall be written in a language they understand.</w:t>
      </w:r>
    </w:p>
    <w:p w14:paraId="56A55D28" w14:textId="0FC95FC6"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Workers shall receive regular and documented health and safety training, and such training shall be repeated for new workers.</w:t>
      </w:r>
    </w:p>
    <w:p w14:paraId="151ED8C6" w14:textId="4D255320"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Access to clean toilet facilities and to potable water, and, if appropriate, sanitary facilities for food storage shall be provided.</w:t>
      </w:r>
    </w:p>
    <w:p w14:paraId="724CCFB4" w14:textId="0C1766B8"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Accommodation, where provided, shall be clean, safe and adequately ventilated, and shall have access to clean toilet facilities and potable water.</w:t>
      </w:r>
    </w:p>
    <w:p w14:paraId="04BE6CBC" w14:textId="32D99082"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No Deductions from wages shall be made as a disciplinary measure.</w:t>
      </w:r>
    </w:p>
    <w:p w14:paraId="12DC9C71" w14:textId="322D2920" w:rsidR="00517E91" w:rsidRDefault="498E3250" w:rsidP="43745DEC">
      <w:pPr>
        <w:pStyle w:val="ListParagraph"/>
        <w:numPr>
          <w:ilvl w:val="0"/>
          <w:numId w:val="2"/>
        </w:numPr>
        <w:spacing w:after="200" w:line="276" w:lineRule="auto"/>
        <w:rPr>
          <w:rFonts w:ascii="Arial" w:eastAsia="Arial" w:hAnsi="Arial" w:cs="Arial"/>
          <w:color w:val="000000" w:themeColor="text1"/>
        </w:rPr>
      </w:pPr>
      <w:r w:rsidRPr="43745DEC">
        <w:rPr>
          <w:rFonts w:ascii="Arial" w:eastAsia="Arial" w:hAnsi="Arial" w:cs="Arial"/>
          <w:b/>
          <w:bCs/>
          <w:color w:val="000000" w:themeColor="text1"/>
          <w:lang w:val="en-US"/>
        </w:rPr>
        <w:t>Environmental conditions:</w:t>
      </w:r>
    </w:p>
    <w:p w14:paraId="29A6BBB3" w14:textId="3C0F215C"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2885ED91" w14:textId="243B6340"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630DAEAE" w14:textId="21C4DA98"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rPr>
        <w:t>National</w:t>
      </w:r>
      <w:r w:rsidRPr="43745DEC">
        <w:rPr>
          <w:rFonts w:ascii="Calibri" w:eastAsia="Calibri" w:hAnsi="Calibri" w:cs="Calibri"/>
          <w:color w:val="000000" w:themeColor="text1"/>
          <w:sz w:val="22"/>
          <w:szCs w:val="22"/>
        </w:rPr>
        <w:t xml:space="preserve"> and international environmental legislation and regulations shall be respected.</w:t>
      </w:r>
    </w:p>
    <w:p w14:paraId="70AFE9E2" w14:textId="7DE5D42C" w:rsidR="00517E91" w:rsidRDefault="498E3250" w:rsidP="43745DEC">
      <w:pPr>
        <w:pStyle w:val="ListParagraph"/>
        <w:numPr>
          <w:ilvl w:val="1"/>
          <w:numId w:val="2"/>
        </w:numPr>
        <w:spacing w:after="200" w:line="276" w:lineRule="auto"/>
        <w:rPr>
          <w:rFonts w:ascii="Calibri" w:eastAsia="Calibri" w:hAnsi="Calibri" w:cs="Calibri"/>
          <w:color w:val="000000" w:themeColor="text1"/>
          <w:sz w:val="22"/>
          <w:szCs w:val="22"/>
        </w:rPr>
      </w:pPr>
      <w:r w:rsidRPr="43745DEC">
        <w:rPr>
          <w:rFonts w:ascii="Calibri" w:eastAsia="Calibri" w:hAnsi="Calibri" w:cs="Calibri"/>
          <w:color w:val="000000" w:themeColor="text1"/>
          <w:sz w:val="22"/>
          <w:szCs w:val="22"/>
        </w:rPr>
        <w:t>Hazardous chemicals and other substances shall be carefully managed in accordance with documented safety procedures.</w:t>
      </w:r>
    </w:p>
    <w:p w14:paraId="14A89273" w14:textId="45D7B16C" w:rsidR="00517E91" w:rsidRDefault="00517E91" w:rsidP="43745DEC">
      <w:pPr>
        <w:spacing w:after="200" w:line="276" w:lineRule="auto"/>
        <w:ind w:left="180"/>
        <w:rPr>
          <w:rFonts w:ascii="Arial" w:eastAsia="Arial" w:hAnsi="Arial" w:cs="Arial"/>
          <w:color w:val="000000" w:themeColor="text1"/>
        </w:rPr>
      </w:pPr>
    </w:p>
    <w:p w14:paraId="32618B74" w14:textId="7AC4246C" w:rsidR="00517E91" w:rsidRDefault="00517E91" w:rsidP="43745DEC">
      <w:pPr>
        <w:spacing w:after="200" w:line="276" w:lineRule="auto"/>
        <w:ind w:left="180"/>
        <w:rPr>
          <w:rFonts w:ascii="Arial" w:eastAsia="Arial" w:hAnsi="Arial" w:cs="Arial"/>
          <w:color w:val="000000" w:themeColor="text1"/>
        </w:rPr>
      </w:pPr>
    </w:p>
    <w:p w14:paraId="0492E9CF" w14:textId="163E764D" w:rsidR="00517E91" w:rsidRDefault="498E3250" w:rsidP="43745DEC">
      <w:pPr>
        <w:spacing w:after="200" w:line="276" w:lineRule="auto"/>
        <w:rPr>
          <w:rFonts w:ascii="Calibri" w:eastAsia="Calibri" w:hAnsi="Calibri" w:cs="Calibri"/>
          <w:color w:val="000000" w:themeColor="text1"/>
        </w:rPr>
      </w:pPr>
      <w:r w:rsidRPr="43745DEC">
        <w:rPr>
          <w:rFonts w:ascii="Calibri" w:eastAsia="Calibri" w:hAnsi="Calibri" w:cs="Calibri"/>
          <w:color w:val="000000" w:themeColor="text1"/>
        </w:rPr>
        <w:t xml:space="preserve">We, the undersigned, verify that we </w:t>
      </w:r>
      <w:proofErr w:type="gramStart"/>
      <w:r w:rsidRPr="43745DEC">
        <w:rPr>
          <w:rFonts w:ascii="Calibri" w:eastAsia="Calibri" w:hAnsi="Calibri" w:cs="Calibri"/>
          <w:color w:val="000000" w:themeColor="text1"/>
        </w:rPr>
        <w:t>are in compliance with</w:t>
      </w:r>
      <w:proofErr w:type="gramEnd"/>
      <w:r w:rsidRPr="43745DEC">
        <w:rPr>
          <w:rFonts w:ascii="Calibri" w:eastAsia="Calibri" w:hAnsi="Calibri" w:cs="Calibri"/>
          <w:color w:val="000000" w:themeColor="text1"/>
        </w:rPr>
        <w:t xml:space="preserve"> all applicable laws and regulations, and meet the ethical standards as listed above or positively agree to these ethical standards and are willing to implement necessary changes in the organisation.</w:t>
      </w:r>
    </w:p>
    <w:p w14:paraId="16D8AE04" w14:textId="63DD5CE5" w:rsidR="00517E91" w:rsidRDefault="00517E91" w:rsidP="43745DEC">
      <w:pPr>
        <w:tabs>
          <w:tab w:val="left" w:pos="851"/>
        </w:tabs>
        <w:spacing w:after="200" w:line="276" w:lineRule="auto"/>
        <w:ind w:left="426" w:right="-144" w:hanging="426"/>
        <w:rPr>
          <w:rFonts w:ascii="Calibri" w:eastAsia="Calibri" w:hAnsi="Calibri" w:cs="Calibri"/>
          <w:color w:val="000000" w:themeColor="text1"/>
          <w:sz w:val="22"/>
          <w:szCs w:val="22"/>
        </w:rPr>
      </w:pPr>
    </w:p>
    <w:p w14:paraId="1D079F75" w14:textId="393821D9"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DATE: _________________</w:t>
      </w:r>
    </w:p>
    <w:p w14:paraId="0D319BE3" w14:textId="2901EC7B" w:rsidR="00517E91" w:rsidRDefault="00517E91" w:rsidP="43745DEC">
      <w:pPr>
        <w:tabs>
          <w:tab w:val="left" w:pos="851"/>
        </w:tabs>
        <w:spacing w:after="200" w:line="276" w:lineRule="auto"/>
        <w:ind w:left="426" w:right="-144" w:hanging="426"/>
        <w:rPr>
          <w:rFonts w:ascii="Calibri" w:eastAsia="Calibri" w:hAnsi="Calibri" w:cs="Calibri"/>
          <w:color w:val="000000" w:themeColor="text1"/>
          <w:sz w:val="22"/>
          <w:szCs w:val="22"/>
        </w:rPr>
      </w:pPr>
    </w:p>
    <w:p w14:paraId="345C074B" w14:textId="1A209C3C"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NAME OF CONTRACTOR/COMPANY: ­_____________________________________________</w:t>
      </w:r>
    </w:p>
    <w:p w14:paraId="2601F5D6" w14:textId="7D5187ED" w:rsidR="00517E91" w:rsidRDefault="00517E91" w:rsidP="43745DEC">
      <w:pPr>
        <w:spacing w:after="200" w:line="276" w:lineRule="auto"/>
        <w:rPr>
          <w:rFonts w:ascii="Calibri" w:eastAsia="Calibri" w:hAnsi="Calibri" w:cs="Calibri"/>
          <w:color w:val="000000" w:themeColor="text1"/>
          <w:sz w:val="22"/>
          <w:szCs w:val="22"/>
        </w:rPr>
      </w:pPr>
    </w:p>
    <w:p w14:paraId="2AF40936" w14:textId="46983989"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NAME OF REPRESENTATIVE</w:t>
      </w:r>
      <w:r w:rsidRPr="43745DEC">
        <w:rPr>
          <w:rFonts w:ascii="Calibri" w:eastAsia="Calibri" w:hAnsi="Calibri" w:cs="Calibri"/>
          <w:color w:val="000000" w:themeColor="text1"/>
          <w:sz w:val="22"/>
          <w:szCs w:val="22"/>
          <w:lang w:val="en-US"/>
        </w:rPr>
        <w:t xml:space="preserve"> ______________________________________________              </w:t>
      </w:r>
      <w:r w:rsidR="00517E91">
        <w:tab/>
      </w:r>
    </w:p>
    <w:p w14:paraId="4DFF5619" w14:textId="1F35D6EE" w:rsidR="00517E91" w:rsidRDefault="00517E91" w:rsidP="43745DEC">
      <w:pPr>
        <w:tabs>
          <w:tab w:val="left" w:pos="851"/>
        </w:tabs>
        <w:spacing w:after="200" w:line="276" w:lineRule="auto"/>
        <w:ind w:left="426" w:right="-144" w:hanging="426"/>
        <w:rPr>
          <w:rFonts w:ascii="Calibri" w:eastAsia="Calibri" w:hAnsi="Calibri" w:cs="Calibri"/>
          <w:color w:val="000000" w:themeColor="text1"/>
          <w:sz w:val="22"/>
          <w:szCs w:val="22"/>
        </w:rPr>
      </w:pPr>
    </w:p>
    <w:p w14:paraId="6E43CBAF" w14:textId="60A0F2F9" w:rsidR="00517E91" w:rsidRDefault="498E3250" w:rsidP="43745DEC">
      <w:pPr>
        <w:tabs>
          <w:tab w:val="left" w:pos="851"/>
        </w:tabs>
        <w:spacing w:after="200" w:line="276" w:lineRule="auto"/>
        <w:ind w:left="426" w:right="-144" w:hanging="426"/>
        <w:rPr>
          <w:rFonts w:ascii="Calibri" w:eastAsia="Calibri" w:hAnsi="Calibri" w:cs="Calibri"/>
          <w:color w:val="000000" w:themeColor="text1"/>
          <w:sz w:val="22"/>
          <w:szCs w:val="22"/>
        </w:rPr>
      </w:pPr>
      <w:r w:rsidRPr="43745DEC">
        <w:rPr>
          <w:rFonts w:ascii="Calibri" w:eastAsia="Calibri" w:hAnsi="Calibri" w:cs="Calibri"/>
          <w:i/>
          <w:iCs/>
          <w:color w:val="000000" w:themeColor="text1"/>
          <w:sz w:val="22"/>
          <w:szCs w:val="22"/>
          <w:lang w:val="en-US"/>
        </w:rPr>
        <w:t>SIGNATURE:</w:t>
      </w:r>
      <w:r w:rsidRPr="43745DEC">
        <w:rPr>
          <w:rFonts w:ascii="Calibri" w:eastAsia="Calibri" w:hAnsi="Calibri" w:cs="Calibri"/>
          <w:color w:val="000000" w:themeColor="text1"/>
          <w:sz w:val="22"/>
          <w:szCs w:val="22"/>
          <w:lang w:val="en-US"/>
        </w:rPr>
        <w:t xml:space="preserve"> __________________________________</w:t>
      </w:r>
    </w:p>
    <w:p w14:paraId="68DDFA22" w14:textId="0622C151" w:rsidR="00517E91" w:rsidRDefault="00517E91" w:rsidP="00517E91"/>
    <w:p w14:paraId="26D1DB9A" w14:textId="77777777" w:rsidR="00517E91" w:rsidRDefault="00517E91" w:rsidP="00517E91"/>
    <w:p w14:paraId="3F0E3210" w14:textId="77777777" w:rsidR="005F786E" w:rsidRDefault="005F786E"/>
    <w:sectPr w:rsidR="005F786E" w:rsidSect="00517E9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BBEB8" w14:textId="77777777" w:rsidR="003C78C3" w:rsidRDefault="003C78C3">
      <w:r>
        <w:separator/>
      </w:r>
    </w:p>
  </w:endnote>
  <w:endnote w:type="continuationSeparator" w:id="0">
    <w:p w14:paraId="69BCAB3B" w14:textId="77777777" w:rsidR="003C78C3" w:rsidRDefault="003C78C3">
      <w:r>
        <w:continuationSeparator/>
      </w:r>
    </w:p>
  </w:endnote>
  <w:endnote w:type="continuationNotice" w:id="1">
    <w:p w14:paraId="132C0ABA" w14:textId="77777777" w:rsidR="003C78C3" w:rsidRDefault="003C7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374F" w14:textId="77777777" w:rsidR="002B6E94" w:rsidRDefault="002B6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7717" w14:textId="77777777" w:rsidR="001330B4" w:rsidRPr="00F92A34" w:rsidRDefault="001330B4" w:rsidP="00F771CB">
    <w:pPr>
      <w:pStyle w:val="Footer"/>
      <w:jc w:val="center"/>
      <w:rPr>
        <w:color w:val="808080"/>
        <w:sz w:val="20"/>
        <w:szCs w:val="20"/>
      </w:rPr>
    </w:pPr>
    <w:r w:rsidRPr="00F92A34">
      <w:rPr>
        <w:color w:val="808080"/>
        <w:sz w:val="20"/>
        <w:szCs w:val="20"/>
      </w:rPr>
      <w:t>NRC-105991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F466" w14:textId="77777777" w:rsidR="002B6E94" w:rsidRDefault="002B6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282B" w14:textId="77777777" w:rsidR="003C78C3" w:rsidRDefault="003C78C3">
      <w:r>
        <w:separator/>
      </w:r>
    </w:p>
  </w:footnote>
  <w:footnote w:type="continuationSeparator" w:id="0">
    <w:p w14:paraId="1F223A2A" w14:textId="77777777" w:rsidR="003C78C3" w:rsidRDefault="003C78C3">
      <w:r>
        <w:continuationSeparator/>
      </w:r>
    </w:p>
  </w:footnote>
  <w:footnote w:type="continuationNotice" w:id="1">
    <w:p w14:paraId="42156FB5" w14:textId="77777777" w:rsidR="003C78C3" w:rsidRDefault="003C7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3050" w14:textId="4FE797AF" w:rsidR="002B6E94" w:rsidRDefault="002B6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0707" w14:textId="02B2EB58" w:rsidR="002B6E94" w:rsidRDefault="002B6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3FB1" w14:textId="25372733" w:rsidR="002B6E94" w:rsidRDefault="002B6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7AA"/>
    <w:multiLevelType w:val="multilevel"/>
    <w:tmpl w:val="4A3C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5AD7"/>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0C984"/>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2300E"/>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1A90"/>
    <w:multiLevelType w:val="multilevel"/>
    <w:tmpl w:val="583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32F9E"/>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F4C02"/>
    <w:multiLevelType w:val="hybridMultilevel"/>
    <w:tmpl w:val="3D4E65CA"/>
    <w:lvl w:ilvl="0" w:tplc="4FA6F15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633A0"/>
    <w:multiLevelType w:val="multilevel"/>
    <w:tmpl w:val="737C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C5AED"/>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E5DEF"/>
    <w:multiLevelType w:val="multilevel"/>
    <w:tmpl w:val="ED1C014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1B6D5AFF"/>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456B6"/>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9177F"/>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07D1D"/>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962AA"/>
    <w:multiLevelType w:val="multilevel"/>
    <w:tmpl w:val="ED1C01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7F93BD6"/>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A529B"/>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63338"/>
    <w:multiLevelType w:val="multilevel"/>
    <w:tmpl w:val="5F34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90054"/>
    <w:multiLevelType w:val="multilevel"/>
    <w:tmpl w:val="A70A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4421F"/>
    <w:multiLevelType w:val="hybridMultilevel"/>
    <w:tmpl w:val="D58257FA"/>
    <w:lvl w:ilvl="0" w:tplc="08090003">
      <w:start w:val="1"/>
      <w:numFmt w:val="bullet"/>
      <w:lvlText w:val="o"/>
      <w:lvlJc w:val="left"/>
      <w:pPr>
        <w:ind w:left="2160" w:hanging="360"/>
      </w:pPr>
      <w:rPr>
        <w:rFonts w:ascii="Courier New" w:hAnsi="Courier New" w:cs="Courier New" w:hint="default"/>
        <w:b w:val="0"/>
        <w:bCs w:val="0"/>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35400500"/>
    <w:multiLevelType w:val="hybridMultilevel"/>
    <w:tmpl w:val="14BE1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914580"/>
    <w:multiLevelType w:val="multilevel"/>
    <w:tmpl w:val="09E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E76AB"/>
    <w:multiLevelType w:val="multilevel"/>
    <w:tmpl w:val="9EF4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979D8"/>
    <w:multiLevelType w:val="hybridMultilevel"/>
    <w:tmpl w:val="84F421C8"/>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B9163DC"/>
    <w:multiLevelType w:val="multilevel"/>
    <w:tmpl w:val="ED1C01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D0657F3"/>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69028"/>
    <w:multiLevelType w:val="multilevel"/>
    <w:tmpl w:val="0736DC2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2E60CB"/>
    <w:multiLevelType w:val="multilevel"/>
    <w:tmpl w:val="37CCD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976E7C"/>
    <w:multiLevelType w:val="hybridMultilevel"/>
    <w:tmpl w:val="CD64F284"/>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27307AA"/>
    <w:multiLevelType w:val="multilevel"/>
    <w:tmpl w:val="74961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67044F"/>
    <w:multiLevelType w:val="multilevel"/>
    <w:tmpl w:val="8A44D2AA"/>
    <w:lvl w:ilvl="0">
      <w:start w:val="1"/>
      <w:numFmt w:val="bullet"/>
      <w:lvlText w:val="o"/>
      <w:lvlJc w:val="left"/>
      <w:pPr>
        <w:tabs>
          <w:tab w:val="num" w:pos="2160"/>
        </w:tabs>
        <w:ind w:left="2160" w:hanging="360"/>
      </w:pPr>
      <w:rPr>
        <w:rFonts w:ascii="Courier New" w:hAnsi="Courier New" w:cs="Courier New"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1" w15:restartNumberingAfterBreak="0">
    <w:nsid w:val="43A14D1C"/>
    <w:multiLevelType w:val="hybridMultilevel"/>
    <w:tmpl w:val="9996AD4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51C7881"/>
    <w:multiLevelType w:val="multilevel"/>
    <w:tmpl w:val="7DC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5B7142"/>
    <w:multiLevelType w:val="multilevel"/>
    <w:tmpl w:val="682E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37612C"/>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C5289E"/>
    <w:multiLevelType w:val="hybridMultilevel"/>
    <w:tmpl w:val="EE1AFA8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20C5B3B"/>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910A7E"/>
    <w:multiLevelType w:val="multilevel"/>
    <w:tmpl w:val="ED1C01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552E095C"/>
    <w:multiLevelType w:val="multilevel"/>
    <w:tmpl w:val="A4DAB32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 w15:restartNumberingAfterBreak="0">
    <w:nsid w:val="5E971F2B"/>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7C2EE2"/>
    <w:multiLevelType w:val="multilevel"/>
    <w:tmpl w:val="A2D8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8340BF"/>
    <w:multiLevelType w:val="multilevel"/>
    <w:tmpl w:val="4498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881270"/>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E632D6"/>
    <w:multiLevelType w:val="multilevel"/>
    <w:tmpl w:val="ED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1B7F4D"/>
    <w:multiLevelType w:val="multilevel"/>
    <w:tmpl w:val="F570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D217DD"/>
    <w:multiLevelType w:val="hybridMultilevel"/>
    <w:tmpl w:val="0F2EAF5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50F1CFC"/>
    <w:multiLevelType w:val="hybridMultilevel"/>
    <w:tmpl w:val="470AC62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6380D08"/>
    <w:multiLevelType w:val="multilevel"/>
    <w:tmpl w:val="508C8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56D641"/>
    <w:multiLevelType w:val="hybridMultilevel"/>
    <w:tmpl w:val="FFFFFFFF"/>
    <w:lvl w:ilvl="0" w:tplc="8A242F4E">
      <w:start w:val="1"/>
      <w:numFmt w:val="lowerLetter"/>
      <w:lvlText w:val="%1)"/>
      <w:lvlJc w:val="left"/>
      <w:pPr>
        <w:ind w:left="1110" w:hanging="750"/>
      </w:pPr>
    </w:lvl>
    <w:lvl w:ilvl="1" w:tplc="505081FC">
      <w:start w:val="1"/>
      <w:numFmt w:val="lowerLetter"/>
      <w:lvlText w:val="%2."/>
      <w:lvlJc w:val="left"/>
      <w:pPr>
        <w:ind w:left="1440" w:hanging="360"/>
      </w:pPr>
    </w:lvl>
    <w:lvl w:ilvl="2" w:tplc="370E9446">
      <w:start w:val="1"/>
      <w:numFmt w:val="lowerRoman"/>
      <w:lvlText w:val="%3."/>
      <w:lvlJc w:val="right"/>
      <w:pPr>
        <w:ind w:left="2160" w:hanging="180"/>
      </w:pPr>
    </w:lvl>
    <w:lvl w:ilvl="3" w:tplc="C73CDB6E">
      <w:start w:val="1"/>
      <w:numFmt w:val="decimal"/>
      <w:lvlText w:val="%4."/>
      <w:lvlJc w:val="left"/>
      <w:pPr>
        <w:ind w:left="2880" w:hanging="360"/>
      </w:pPr>
    </w:lvl>
    <w:lvl w:ilvl="4" w:tplc="B8202620">
      <w:start w:val="1"/>
      <w:numFmt w:val="lowerLetter"/>
      <w:lvlText w:val="%5."/>
      <w:lvlJc w:val="left"/>
      <w:pPr>
        <w:ind w:left="3600" w:hanging="360"/>
      </w:pPr>
    </w:lvl>
    <w:lvl w:ilvl="5" w:tplc="24287EBE">
      <w:start w:val="1"/>
      <w:numFmt w:val="lowerRoman"/>
      <w:lvlText w:val="%6."/>
      <w:lvlJc w:val="right"/>
      <w:pPr>
        <w:ind w:left="4320" w:hanging="180"/>
      </w:pPr>
    </w:lvl>
    <w:lvl w:ilvl="6" w:tplc="A9FE1914">
      <w:start w:val="1"/>
      <w:numFmt w:val="decimal"/>
      <w:lvlText w:val="%7."/>
      <w:lvlJc w:val="left"/>
      <w:pPr>
        <w:ind w:left="5040" w:hanging="360"/>
      </w:pPr>
    </w:lvl>
    <w:lvl w:ilvl="7" w:tplc="5A748982">
      <w:start w:val="1"/>
      <w:numFmt w:val="lowerLetter"/>
      <w:lvlText w:val="%8."/>
      <w:lvlJc w:val="left"/>
      <w:pPr>
        <w:ind w:left="5760" w:hanging="360"/>
      </w:pPr>
    </w:lvl>
    <w:lvl w:ilvl="8" w:tplc="C24A3D6E">
      <w:start w:val="1"/>
      <w:numFmt w:val="lowerRoman"/>
      <w:lvlText w:val="%9."/>
      <w:lvlJc w:val="right"/>
      <w:pPr>
        <w:ind w:left="6480" w:hanging="180"/>
      </w:pPr>
    </w:lvl>
  </w:abstractNum>
  <w:num w:numId="1" w16cid:durableId="1859856384">
    <w:abstractNumId w:val="26"/>
  </w:num>
  <w:num w:numId="2" w16cid:durableId="441337314">
    <w:abstractNumId w:val="2"/>
  </w:num>
  <w:num w:numId="3" w16cid:durableId="2093315127">
    <w:abstractNumId w:val="48"/>
  </w:num>
  <w:num w:numId="4" w16cid:durableId="1242060396">
    <w:abstractNumId w:val="28"/>
  </w:num>
  <w:num w:numId="5" w16cid:durableId="1657175961">
    <w:abstractNumId w:val="35"/>
  </w:num>
  <w:num w:numId="6" w16cid:durableId="873731495">
    <w:abstractNumId w:val="7"/>
  </w:num>
  <w:num w:numId="7" w16cid:durableId="29573458">
    <w:abstractNumId w:val="40"/>
  </w:num>
  <w:num w:numId="8" w16cid:durableId="1483154539">
    <w:abstractNumId w:val="4"/>
  </w:num>
  <w:num w:numId="9" w16cid:durableId="1425112014">
    <w:abstractNumId w:val="33"/>
  </w:num>
  <w:num w:numId="10" w16cid:durableId="1686518038">
    <w:abstractNumId w:val="44"/>
  </w:num>
  <w:num w:numId="11" w16cid:durableId="1060834897">
    <w:abstractNumId w:val="21"/>
  </w:num>
  <w:num w:numId="12" w16cid:durableId="973801847">
    <w:abstractNumId w:val="22"/>
  </w:num>
  <w:num w:numId="13" w16cid:durableId="8605847">
    <w:abstractNumId w:val="29"/>
  </w:num>
  <w:num w:numId="14" w16cid:durableId="419523962">
    <w:abstractNumId w:val="27"/>
  </w:num>
  <w:num w:numId="15" w16cid:durableId="577640308">
    <w:abstractNumId w:val="17"/>
  </w:num>
  <w:num w:numId="16" w16cid:durableId="1914974733">
    <w:abstractNumId w:val="47"/>
  </w:num>
  <w:num w:numId="17" w16cid:durableId="2021616233">
    <w:abstractNumId w:val="39"/>
  </w:num>
  <w:num w:numId="18" w16cid:durableId="1089542286">
    <w:abstractNumId w:val="41"/>
  </w:num>
  <w:num w:numId="19" w16cid:durableId="2106799372">
    <w:abstractNumId w:val="32"/>
  </w:num>
  <w:num w:numId="20" w16cid:durableId="86729535">
    <w:abstractNumId w:val="0"/>
  </w:num>
  <w:num w:numId="21" w16cid:durableId="1676229144">
    <w:abstractNumId w:val="18"/>
  </w:num>
  <w:num w:numId="22" w16cid:durableId="1054038819">
    <w:abstractNumId w:val="6"/>
  </w:num>
  <w:num w:numId="23" w16cid:durableId="570846566">
    <w:abstractNumId w:val="46"/>
  </w:num>
  <w:num w:numId="24" w16cid:durableId="1744177814">
    <w:abstractNumId w:val="31"/>
  </w:num>
  <w:num w:numId="25" w16cid:durableId="902178551">
    <w:abstractNumId w:val="45"/>
  </w:num>
  <w:num w:numId="26" w16cid:durableId="755203722">
    <w:abstractNumId w:val="23"/>
  </w:num>
  <w:num w:numId="27" w16cid:durableId="1627152967">
    <w:abstractNumId w:val="5"/>
  </w:num>
  <w:num w:numId="28" w16cid:durableId="1114597330">
    <w:abstractNumId w:val="15"/>
  </w:num>
  <w:num w:numId="29" w16cid:durableId="932400277">
    <w:abstractNumId w:val="14"/>
  </w:num>
  <w:num w:numId="30" w16cid:durableId="684749263">
    <w:abstractNumId w:val="24"/>
  </w:num>
  <w:num w:numId="31" w16cid:durableId="1218710010">
    <w:abstractNumId w:val="16"/>
  </w:num>
  <w:num w:numId="32" w16cid:durableId="407460384">
    <w:abstractNumId w:val="37"/>
  </w:num>
  <w:num w:numId="33" w16cid:durableId="138377676">
    <w:abstractNumId w:val="43"/>
  </w:num>
  <w:num w:numId="34" w16cid:durableId="993410767">
    <w:abstractNumId w:val="36"/>
  </w:num>
  <w:num w:numId="35" w16cid:durableId="1613828644">
    <w:abstractNumId w:val="9"/>
  </w:num>
  <w:num w:numId="36" w16cid:durableId="1773015632">
    <w:abstractNumId w:val="20"/>
  </w:num>
  <w:num w:numId="37" w16cid:durableId="223487169">
    <w:abstractNumId w:val="30"/>
  </w:num>
  <w:num w:numId="38" w16cid:durableId="822935867">
    <w:abstractNumId w:val="38"/>
  </w:num>
  <w:num w:numId="39" w16cid:durableId="1926301858">
    <w:abstractNumId w:val="19"/>
  </w:num>
  <w:num w:numId="40" w16cid:durableId="304547238">
    <w:abstractNumId w:val="13"/>
  </w:num>
  <w:num w:numId="41" w16cid:durableId="551500608">
    <w:abstractNumId w:val="1"/>
  </w:num>
  <w:num w:numId="42" w16cid:durableId="1132559085">
    <w:abstractNumId w:val="25"/>
  </w:num>
  <w:num w:numId="43" w16cid:durableId="657614336">
    <w:abstractNumId w:val="12"/>
  </w:num>
  <w:num w:numId="44" w16cid:durableId="608971530">
    <w:abstractNumId w:val="34"/>
  </w:num>
  <w:num w:numId="45" w16cid:durableId="2058581406">
    <w:abstractNumId w:val="42"/>
  </w:num>
  <w:num w:numId="46" w16cid:durableId="917904209">
    <w:abstractNumId w:val="3"/>
  </w:num>
  <w:num w:numId="47" w16cid:durableId="530457825">
    <w:abstractNumId w:val="10"/>
  </w:num>
  <w:num w:numId="48" w16cid:durableId="1999578434">
    <w:abstractNumId w:val="8"/>
  </w:num>
  <w:num w:numId="49" w16cid:durableId="20849413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91"/>
    <w:rsid w:val="00004821"/>
    <w:rsid w:val="00024B7D"/>
    <w:rsid w:val="00046FFF"/>
    <w:rsid w:val="00047D81"/>
    <w:rsid w:val="000544C8"/>
    <w:rsid w:val="00060931"/>
    <w:rsid w:val="00081613"/>
    <w:rsid w:val="000A4BAB"/>
    <w:rsid w:val="000A71EB"/>
    <w:rsid w:val="000D4311"/>
    <w:rsid w:val="000D60F4"/>
    <w:rsid w:val="000F49BB"/>
    <w:rsid w:val="0010595C"/>
    <w:rsid w:val="0011738A"/>
    <w:rsid w:val="00117A1D"/>
    <w:rsid w:val="001300F3"/>
    <w:rsid w:val="001330B4"/>
    <w:rsid w:val="00137CC7"/>
    <w:rsid w:val="00140BEF"/>
    <w:rsid w:val="00141BD2"/>
    <w:rsid w:val="001505F8"/>
    <w:rsid w:val="001729AC"/>
    <w:rsid w:val="0018089A"/>
    <w:rsid w:val="0018655F"/>
    <w:rsid w:val="0019663D"/>
    <w:rsid w:val="001B1FD3"/>
    <w:rsid w:val="001C0814"/>
    <w:rsid w:val="001C1D25"/>
    <w:rsid w:val="001C4035"/>
    <w:rsid w:val="001D2474"/>
    <w:rsid w:val="001D5356"/>
    <w:rsid w:val="001D75F3"/>
    <w:rsid w:val="001E3598"/>
    <w:rsid w:val="001E6DE9"/>
    <w:rsid w:val="001F5EFE"/>
    <w:rsid w:val="002002A0"/>
    <w:rsid w:val="0020114B"/>
    <w:rsid w:val="00202ADA"/>
    <w:rsid w:val="002235AA"/>
    <w:rsid w:val="00253610"/>
    <w:rsid w:val="00255587"/>
    <w:rsid w:val="00255752"/>
    <w:rsid w:val="00262414"/>
    <w:rsid w:val="00287958"/>
    <w:rsid w:val="0029477F"/>
    <w:rsid w:val="002A4DF8"/>
    <w:rsid w:val="002B6E94"/>
    <w:rsid w:val="002C73B2"/>
    <w:rsid w:val="002D2E85"/>
    <w:rsid w:val="002D7422"/>
    <w:rsid w:val="002F1E31"/>
    <w:rsid w:val="002F5617"/>
    <w:rsid w:val="002F66FB"/>
    <w:rsid w:val="00324777"/>
    <w:rsid w:val="00334F0D"/>
    <w:rsid w:val="00334F6F"/>
    <w:rsid w:val="00350A8B"/>
    <w:rsid w:val="003540D7"/>
    <w:rsid w:val="00362854"/>
    <w:rsid w:val="00371C0F"/>
    <w:rsid w:val="00375560"/>
    <w:rsid w:val="003775C3"/>
    <w:rsid w:val="003A7B19"/>
    <w:rsid w:val="003B30DE"/>
    <w:rsid w:val="003B3E70"/>
    <w:rsid w:val="003C78C3"/>
    <w:rsid w:val="003F118E"/>
    <w:rsid w:val="003F1CBD"/>
    <w:rsid w:val="004064F9"/>
    <w:rsid w:val="00426D37"/>
    <w:rsid w:val="00433B9F"/>
    <w:rsid w:val="0044763E"/>
    <w:rsid w:val="00465A85"/>
    <w:rsid w:val="00467FD2"/>
    <w:rsid w:val="0047196C"/>
    <w:rsid w:val="00485814"/>
    <w:rsid w:val="00490324"/>
    <w:rsid w:val="00497FA8"/>
    <w:rsid w:val="004B269F"/>
    <w:rsid w:val="004B3DD1"/>
    <w:rsid w:val="004D23A5"/>
    <w:rsid w:val="004D4CD0"/>
    <w:rsid w:val="004D5AAB"/>
    <w:rsid w:val="004E0EC5"/>
    <w:rsid w:val="004F165E"/>
    <w:rsid w:val="004F4CA4"/>
    <w:rsid w:val="00517E91"/>
    <w:rsid w:val="00534C94"/>
    <w:rsid w:val="005404B5"/>
    <w:rsid w:val="00541985"/>
    <w:rsid w:val="00551247"/>
    <w:rsid w:val="00571B0D"/>
    <w:rsid w:val="0057291D"/>
    <w:rsid w:val="00575C97"/>
    <w:rsid w:val="00576E52"/>
    <w:rsid w:val="00584E78"/>
    <w:rsid w:val="005909CF"/>
    <w:rsid w:val="00590D48"/>
    <w:rsid w:val="00591360"/>
    <w:rsid w:val="005A4293"/>
    <w:rsid w:val="005B2E7A"/>
    <w:rsid w:val="005C3D9D"/>
    <w:rsid w:val="005C587A"/>
    <w:rsid w:val="005D6D25"/>
    <w:rsid w:val="005E47C5"/>
    <w:rsid w:val="005E6664"/>
    <w:rsid w:val="005F786E"/>
    <w:rsid w:val="006072AA"/>
    <w:rsid w:val="00624CC8"/>
    <w:rsid w:val="00640197"/>
    <w:rsid w:val="0064294B"/>
    <w:rsid w:val="006447EB"/>
    <w:rsid w:val="00660AD2"/>
    <w:rsid w:val="0066557B"/>
    <w:rsid w:val="006728AB"/>
    <w:rsid w:val="00687DF9"/>
    <w:rsid w:val="006A7626"/>
    <w:rsid w:val="006B541C"/>
    <w:rsid w:val="006C152B"/>
    <w:rsid w:val="006D0051"/>
    <w:rsid w:val="006D3589"/>
    <w:rsid w:val="006E4B09"/>
    <w:rsid w:val="006F7317"/>
    <w:rsid w:val="00712042"/>
    <w:rsid w:val="00754266"/>
    <w:rsid w:val="007636F7"/>
    <w:rsid w:val="007752D6"/>
    <w:rsid w:val="00783E16"/>
    <w:rsid w:val="00785C44"/>
    <w:rsid w:val="007A11DE"/>
    <w:rsid w:val="007B1E94"/>
    <w:rsid w:val="007C5196"/>
    <w:rsid w:val="007D2617"/>
    <w:rsid w:val="007D53D5"/>
    <w:rsid w:val="0080025A"/>
    <w:rsid w:val="0080522F"/>
    <w:rsid w:val="00805DBB"/>
    <w:rsid w:val="00810928"/>
    <w:rsid w:val="00812B95"/>
    <w:rsid w:val="008219C5"/>
    <w:rsid w:val="00834BF1"/>
    <w:rsid w:val="00843A24"/>
    <w:rsid w:val="00844A89"/>
    <w:rsid w:val="00846303"/>
    <w:rsid w:val="008501F8"/>
    <w:rsid w:val="00850C5C"/>
    <w:rsid w:val="00856ACD"/>
    <w:rsid w:val="00857F48"/>
    <w:rsid w:val="00871CE1"/>
    <w:rsid w:val="008773FE"/>
    <w:rsid w:val="008A6C14"/>
    <w:rsid w:val="008B68AB"/>
    <w:rsid w:val="008E7A1A"/>
    <w:rsid w:val="008F44AE"/>
    <w:rsid w:val="008F6786"/>
    <w:rsid w:val="0090011C"/>
    <w:rsid w:val="009015EA"/>
    <w:rsid w:val="0091375D"/>
    <w:rsid w:val="009227C4"/>
    <w:rsid w:val="00923FB0"/>
    <w:rsid w:val="00931D76"/>
    <w:rsid w:val="0094108E"/>
    <w:rsid w:val="00945102"/>
    <w:rsid w:val="00947A02"/>
    <w:rsid w:val="00962BB1"/>
    <w:rsid w:val="00977195"/>
    <w:rsid w:val="009815C5"/>
    <w:rsid w:val="00983481"/>
    <w:rsid w:val="009847E3"/>
    <w:rsid w:val="00994EA7"/>
    <w:rsid w:val="009D0F02"/>
    <w:rsid w:val="009D1BD7"/>
    <w:rsid w:val="009F5B14"/>
    <w:rsid w:val="00A06EF0"/>
    <w:rsid w:val="00A246E3"/>
    <w:rsid w:val="00A4282B"/>
    <w:rsid w:val="00A70BBF"/>
    <w:rsid w:val="00AA1EAC"/>
    <w:rsid w:val="00AA5AE8"/>
    <w:rsid w:val="00AD5C4D"/>
    <w:rsid w:val="00AF78E2"/>
    <w:rsid w:val="00B30C68"/>
    <w:rsid w:val="00B36367"/>
    <w:rsid w:val="00B54695"/>
    <w:rsid w:val="00B5699D"/>
    <w:rsid w:val="00B655EE"/>
    <w:rsid w:val="00B70A34"/>
    <w:rsid w:val="00B81000"/>
    <w:rsid w:val="00B92E50"/>
    <w:rsid w:val="00BF52FD"/>
    <w:rsid w:val="00C031D0"/>
    <w:rsid w:val="00C1664E"/>
    <w:rsid w:val="00C21690"/>
    <w:rsid w:val="00C22F4A"/>
    <w:rsid w:val="00C25892"/>
    <w:rsid w:val="00C27CF1"/>
    <w:rsid w:val="00C32EC5"/>
    <w:rsid w:val="00C35FEB"/>
    <w:rsid w:val="00C50714"/>
    <w:rsid w:val="00C80928"/>
    <w:rsid w:val="00C91925"/>
    <w:rsid w:val="00C93A94"/>
    <w:rsid w:val="00C9669C"/>
    <w:rsid w:val="00CB3A51"/>
    <w:rsid w:val="00CD320E"/>
    <w:rsid w:val="00CE15F0"/>
    <w:rsid w:val="00D01136"/>
    <w:rsid w:val="00D0467A"/>
    <w:rsid w:val="00D15CDD"/>
    <w:rsid w:val="00D16A66"/>
    <w:rsid w:val="00D201B3"/>
    <w:rsid w:val="00D2268F"/>
    <w:rsid w:val="00D3021F"/>
    <w:rsid w:val="00D36496"/>
    <w:rsid w:val="00D442CE"/>
    <w:rsid w:val="00D5477D"/>
    <w:rsid w:val="00D54A12"/>
    <w:rsid w:val="00D57415"/>
    <w:rsid w:val="00D65C53"/>
    <w:rsid w:val="00D70F5D"/>
    <w:rsid w:val="00D744A4"/>
    <w:rsid w:val="00D80A80"/>
    <w:rsid w:val="00D85389"/>
    <w:rsid w:val="00D9223B"/>
    <w:rsid w:val="00D93CAB"/>
    <w:rsid w:val="00DA129E"/>
    <w:rsid w:val="00DA2064"/>
    <w:rsid w:val="00DA694D"/>
    <w:rsid w:val="00DC6FA1"/>
    <w:rsid w:val="00E12D12"/>
    <w:rsid w:val="00E15A19"/>
    <w:rsid w:val="00E27F4C"/>
    <w:rsid w:val="00E322E4"/>
    <w:rsid w:val="00E46D67"/>
    <w:rsid w:val="00E6147E"/>
    <w:rsid w:val="00E70D4E"/>
    <w:rsid w:val="00E831A6"/>
    <w:rsid w:val="00E87176"/>
    <w:rsid w:val="00E929C3"/>
    <w:rsid w:val="00EA490F"/>
    <w:rsid w:val="00EA4BAF"/>
    <w:rsid w:val="00EB37AC"/>
    <w:rsid w:val="00EB5057"/>
    <w:rsid w:val="00EB61B4"/>
    <w:rsid w:val="00EB780D"/>
    <w:rsid w:val="00EE18F7"/>
    <w:rsid w:val="00EE360B"/>
    <w:rsid w:val="00EE5FEB"/>
    <w:rsid w:val="00EE7E6C"/>
    <w:rsid w:val="00EE7F33"/>
    <w:rsid w:val="00F1133E"/>
    <w:rsid w:val="00F11EEF"/>
    <w:rsid w:val="00F176D2"/>
    <w:rsid w:val="00F51758"/>
    <w:rsid w:val="00F51E58"/>
    <w:rsid w:val="00F5249B"/>
    <w:rsid w:val="00F771CB"/>
    <w:rsid w:val="00F94A2E"/>
    <w:rsid w:val="00FA7285"/>
    <w:rsid w:val="00FB10BA"/>
    <w:rsid w:val="00FB55FA"/>
    <w:rsid w:val="00FB5EF0"/>
    <w:rsid w:val="00FD01DD"/>
    <w:rsid w:val="021DC044"/>
    <w:rsid w:val="02B58326"/>
    <w:rsid w:val="033AD7D8"/>
    <w:rsid w:val="0404207A"/>
    <w:rsid w:val="06ED003C"/>
    <w:rsid w:val="08867AD1"/>
    <w:rsid w:val="09DDDEB2"/>
    <w:rsid w:val="0F6DCBC7"/>
    <w:rsid w:val="11E9C818"/>
    <w:rsid w:val="178D38CA"/>
    <w:rsid w:val="178DD62D"/>
    <w:rsid w:val="1830F34F"/>
    <w:rsid w:val="195AE195"/>
    <w:rsid w:val="1BBF4CF2"/>
    <w:rsid w:val="203B0E59"/>
    <w:rsid w:val="246DA59E"/>
    <w:rsid w:val="24B6CB3E"/>
    <w:rsid w:val="25F0E267"/>
    <w:rsid w:val="27B06CF7"/>
    <w:rsid w:val="2D2B1871"/>
    <w:rsid w:val="32EFAB37"/>
    <w:rsid w:val="33533D5E"/>
    <w:rsid w:val="3372F3CF"/>
    <w:rsid w:val="33860B25"/>
    <w:rsid w:val="359D8116"/>
    <w:rsid w:val="3824633F"/>
    <w:rsid w:val="3A764395"/>
    <w:rsid w:val="3E2AF4AA"/>
    <w:rsid w:val="3FDD49C0"/>
    <w:rsid w:val="413946DA"/>
    <w:rsid w:val="415D3337"/>
    <w:rsid w:val="42DD3B32"/>
    <w:rsid w:val="434025F0"/>
    <w:rsid w:val="43745DEC"/>
    <w:rsid w:val="4519C067"/>
    <w:rsid w:val="45397BDE"/>
    <w:rsid w:val="48778FF7"/>
    <w:rsid w:val="498E3250"/>
    <w:rsid w:val="4B894B74"/>
    <w:rsid w:val="539BD522"/>
    <w:rsid w:val="56B4FF70"/>
    <w:rsid w:val="5809D5C5"/>
    <w:rsid w:val="5BB068EC"/>
    <w:rsid w:val="5F057897"/>
    <w:rsid w:val="6272FB81"/>
    <w:rsid w:val="644131CA"/>
    <w:rsid w:val="661858D3"/>
    <w:rsid w:val="666ADEF8"/>
    <w:rsid w:val="6BAA9B68"/>
    <w:rsid w:val="7112232B"/>
    <w:rsid w:val="728B05FD"/>
    <w:rsid w:val="733C637D"/>
    <w:rsid w:val="7471A1C4"/>
    <w:rsid w:val="761AC424"/>
    <w:rsid w:val="79AB769C"/>
    <w:rsid w:val="7ABF153D"/>
    <w:rsid w:val="7B01EA65"/>
    <w:rsid w:val="7B50E4C8"/>
    <w:rsid w:val="7C5C4962"/>
    <w:rsid w:val="7D37412C"/>
    <w:rsid w:val="7DAA0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863C"/>
  <w15:chartTrackingRefBased/>
  <w15:docId w15:val="{E7A541B7-3E9B-4196-9DAA-9973E46D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91"/>
    <w:pPr>
      <w:spacing w:after="0" w:line="240" w:lineRule="auto"/>
    </w:pPr>
    <w:rPr>
      <w:rFonts w:ascii="Times New Roman" w:eastAsia="Times New Roman" w:hAnsi="Times New Roman" w:cs="Times New Roman"/>
      <w:kern w:val="0"/>
      <w:sz w:val="24"/>
      <w:szCs w:val="24"/>
      <w:lang w:val="en-GB" w:eastAsia="nb-NO"/>
    </w:rPr>
  </w:style>
  <w:style w:type="paragraph" w:styleId="Heading1">
    <w:name w:val="heading 1"/>
    <w:basedOn w:val="Normal"/>
    <w:next w:val="Normal"/>
    <w:link w:val="Heading1Char"/>
    <w:uiPriority w:val="9"/>
    <w:qFormat/>
    <w:rsid w:val="00517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7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E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E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E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E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7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E91"/>
    <w:rPr>
      <w:rFonts w:eastAsiaTheme="majorEastAsia" w:cstheme="majorBidi"/>
      <w:color w:val="272727" w:themeColor="text1" w:themeTint="D8"/>
    </w:rPr>
  </w:style>
  <w:style w:type="paragraph" w:styleId="Title">
    <w:name w:val="Title"/>
    <w:basedOn w:val="Normal"/>
    <w:next w:val="Normal"/>
    <w:link w:val="TitleChar"/>
    <w:uiPriority w:val="10"/>
    <w:qFormat/>
    <w:rsid w:val="00517E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E91"/>
    <w:pPr>
      <w:spacing w:before="160"/>
      <w:jc w:val="center"/>
    </w:pPr>
    <w:rPr>
      <w:i/>
      <w:iCs/>
      <w:color w:val="404040" w:themeColor="text1" w:themeTint="BF"/>
    </w:rPr>
  </w:style>
  <w:style w:type="character" w:customStyle="1" w:styleId="QuoteChar">
    <w:name w:val="Quote Char"/>
    <w:basedOn w:val="DefaultParagraphFont"/>
    <w:link w:val="Quote"/>
    <w:uiPriority w:val="29"/>
    <w:rsid w:val="00517E91"/>
    <w:rPr>
      <w:i/>
      <w:iCs/>
      <w:color w:val="404040" w:themeColor="text1" w:themeTint="BF"/>
    </w:rPr>
  </w:style>
  <w:style w:type="paragraph" w:styleId="ListParagraph">
    <w:name w:val="List Paragraph"/>
    <w:aliases w:val="List NRC"/>
    <w:basedOn w:val="Normal"/>
    <w:link w:val="ListParagraphChar"/>
    <w:uiPriority w:val="34"/>
    <w:qFormat/>
    <w:rsid w:val="00517E91"/>
    <w:pPr>
      <w:ind w:left="720"/>
      <w:contextualSpacing/>
    </w:pPr>
  </w:style>
  <w:style w:type="character" w:styleId="IntenseEmphasis">
    <w:name w:val="Intense Emphasis"/>
    <w:basedOn w:val="DefaultParagraphFont"/>
    <w:uiPriority w:val="21"/>
    <w:qFormat/>
    <w:rsid w:val="00517E91"/>
    <w:rPr>
      <w:i/>
      <w:iCs/>
      <w:color w:val="0F4761" w:themeColor="accent1" w:themeShade="BF"/>
    </w:rPr>
  </w:style>
  <w:style w:type="paragraph" w:styleId="IntenseQuote">
    <w:name w:val="Intense Quote"/>
    <w:basedOn w:val="Normal"/>
    <w:next w:val="Normal"/>
    <w:link w:val="IntenseQuoteChar"/>
    <w:uiPriority w:val="30"/>
    <w:qFormat/>
    <w:rsid w:val="00517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E91"/>
    <w:rPr>
      <w:i/>
      <w:iCs/>
      <w:color w:val="0F4761" w:themeColor="accent1" w:themeShade="BF"/>
    </w:rPr>
  </w:style>
  <w:style w:type="character" w:styleId="IntenseReference">
    <w:name w:val="Intense Reference"/>
    <w:basedOn w:val="DefaultParagraphFont"/>
    <w:uiPriority w:val="32"/>
    <w:qFormat/>
    <w:rsid w:val="00517E91"/>
    <w:rPr>
      <w:b/>
      <w:bCs/>
      <w:smallCaps/>
      <w:color w:val="0F4761" w:themeColor="accent1" w:themeShade="BF"/>
      <w:spacing w:val="5"/>
    </w:rPr>
  </w:style>
  <w:style w:type="paragraph" w:styleId="Footer">
    <w:name w:val="footer"/>
    <w:basedOn w:val="Normal"/>
    <w:link w:val="FooterChar"/>
    <w:rsid w:val="00517E91"/>
    <w:pPr>
      <w:tabs>
        <w:tab w:val="center" w:pos="4536"/>
        <w:tab w:val="right" w:pos="9072"/>
      </w:tabs>
    </w:pPr>
  </w:style>
  <w:style w:type="character" w:customStyle="1" w:styleId="FooterChar">
    <w:name w:val="Footer Char"/>
    <w:basedOn w:val="DefaultParagraphFont"/>
    <w:link w:val="Footer"/>
    <w:rsid w:val="00517E91"/>
    <w:rPr>
      <w:rFonts w:ascii="Times New Roman" w:eastAsia="Times New Roman" w:hAnsi="Times New Roman" w:cs="Times New Roman"/>
      <w:kern w:val="0"/>
      <w:sz w:val="24"/>
      <w:szCs w:val="24"/>
      <w:lang w:val="en-GB" w:eastAsia="nb-NO"/>
    </w:rPr>
  </w:style>
  <w:style w:type="paragraph" w:styleId="ListBullet">
    <w:name w:val="List Bullet"/>
    <w:aliases w:val="Bullet list NRC"/>
    <w:basedOn w:val="Normal"/>
    <w:uiPriority w:val="99"/>
    <w:qFormat/>
    <w:rsid w:val="00517E91"/>
    <w:pPr>
      <w:numPr>
        <w:numId w:val="4"/>
      </w:numPr>
      <w:spacing w:after="80" w:line="259" w:lineRule="auto"/>
    </w:pPr>
    <w:rPr>
      <w:rFonts w:ascii="Franklin Gothic Book" w:eastAsia="Franklin Gothic Book" w:hAnsi="Franklin Gothic Book"/>
      <w:color w:val="464645"/>
      <w:sz w:val="20"/>
      <w:szCs w:val="22"/>
      <w:lang w:eastAsia="en-US"/>
    </w:rPr>
  </w:style>
  <w:style w:type="character" w:customStyle="1" w:styleId="ListParagraphChar">
    <w:name w:val="List Paragraph Char"/>
    <w:aliases w:val="List NRC Char"/>
    <w:link w:val="ListParagraph"/>
    <w:uiPriority w:val="34"/>
    <w:locked/>
    <w:rsid w:val="00517E91"/>
  </w:style>
  <w:style w:type="paragraph" w:styleId="NoSpacing">
    <w:name w:val="No Spacing"/>
    <w:uiPriority w:val="1"/>
    <w:qFormat/>
    <w:rsid w:val="00517E91"/>
    <w:pPr>
      <w:spacing w:after="0" w:line="240" w:lineRule="auto"/>
    </w:pPr>
    <w:rPr>
      <w:rFonts w:ascii="Times New Roman" w:eastAsia="Times New Roman" w:hAnsi="Times New Roman" w:cs="Times New Roman"/>
      <w:kern w:val="0"/>
      <w:sz w:val="24"/>
      <w:szCs w:val="24"/>
      <w:lang w:val="en-GB" w:eastAsia="nb-NO"/>
    </w:rPr>
  </w:style>
  <w:style w:type="character" w:styleId="CommentReference">
    <w:name w:val="annotation reference"/>
    <w:basedOn w:val="DefaultParagraphFont"/>
    <w:uiPriority w:val="99"/>
    <w:semiHidden/>
    <w:unhideWhenUsed/>
    <w:rsid w:val="00117A1D"/>
    <w:rPr>
      <w:sz w:val="16"/>
      <w:szCs w:val="16"/>
    </w:rPr>
  </w:style>
  <w:style w:type="paragraph" w:styleId="CommentText">
    <w:name w:val="annotation text"/>
    <w:basedOn w:val="Normal"/>
    <w:link w:val="CommentTextChar"/>
    <w:uiPriority w:val="99"/>
    <w:unhideWhenUsed/>
    <w:rsid w:val="00117A1D"/>
    <w:rPr>
      <w:sz w:val="20"/>
      <w:szCs w:val="20"/>
    </w:rPr>
  </w:style>
  <w:style w:type="character" w:customStyle="1" w:styleId="CommentTextChar">
    <w:name w:val="Comment Text Char"/>
    <w:basedOn w:val="DefaultParagraphFont"/>
    <w:link w:val="CommentText"/>
    <w:uiPriority w:val="99"/>
    <w:rsid w:val="00117A1D"/>
    <w:rPr>
      <w:rFonts w:ascii="Times New Roman" w:eastAsia="Times New Roman" w:hAnsi="Times New Roman" w:cs="Times New Roman"/>
      <w:kern w:val="0"/>
      <w:sz w:val="20"/>
      <w:szCs w:val="20"/>
      <w:lang w:val="en-GB" w:eastAsia="nb-NO"/>
    </w:rPr>
  </w:style>
  <w:style w:type="paragraph" w:styleId="CommentSubject">
    <w:name w:val="annotation subject"/>
    <w:basedOn w:val="CommentText"/>
    <w:next w:val="CommentText"/>
    <w:link w:val="CommentSubjectChar"/>
    <w:uiPriority w:val="99"/>
    <w:semiHidden/>
    <w:unhideWhenUsed/>
    <w:rsid w:val="00117A1D"/>
    <w:rPr>
      <w:b/>
      <w:bCs/>
    </w:rPr>
  </w:style>
  <w:style w:type="character" w:customStyle="1" w:styleId="CommentSubjectChar">
    <w:name w:val="Comment Subject Char"/>
    <w:basedOn w:val="CommentTextChar"/>
    <w:link w:val="CommentSubject"/>
    <w:uiPriority w:val="99"/>
    <w:semiHidden/>
    <w:rsid w:val="00117A1D"/>
    <w:rPr>
      <w:rFonts w:ascii="Times New Roman" w:eastAsia="Times New Roman" w:hAnsi="Times New Roman" w:cs="Times New Roman"/>
      <w:b/>
      <w:bCs/>
      <w:kern w:val="0"/>
      <w:sz w:val="20"/>
      <w:szCs w:val="20"/>
      <w:lang w:val="en-GB" w:eastAsia="nb-NO"/>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2A4DF8"/>
    <w:pPr>
      <w:tabs>
        <w:tab w:val="center" w:pos="4680"/>
        <w:tab w:val="right" w:pos="9360"/>
      </w:tabs>
    </w:pPr>
  </w:style>
  <w:style w:type="character" w:customStyle="1" w:styleId="HeaderChar">
    <w:name w:val="Header Char"/>
    <w:basedOn w:val="DefaultParagraphFont"/>
    <w:link w:val="Header"/>
    <w:uiPriority w:val="99"/>
    <w:rsid w:val="002A4DF8"/>
    <w:rPr>
      <w:rFonts w:ascii="Times New Roman" w:eastAsia="Times New Roman" w:hAnsi="Times New Roman" w:cs="Times New Roman"/>
      <w:kern w:val="0"/>
      <w:sz w:val="24"/>
      <w:szCs w:val="24"/>
      <w:lang w:val="en-GB" w:eastAsia="nb-NO"/>
    </w:rPr>
  </w:style>
  <w:style w:type="character" w:styleId="UnresolvedMention">
    <w:name w:val="Unresolved Mention"/>
    <w:basedOn w:val="DefaultParagraphFont"/>
    <w:uiPriority w:val="99"/>
    <w:semiHidden/>
    <w:unhideWhenUsed/>
    <w:rsid w:val="00576E52"/>
    <w:rPr>
      <w:color w:val="605E5C"/>
      <w:shd w:val="clear" w:color="auto" w:fill="E1DFDD"/>
    </w:rPr>
  </w:style>
  <w:style w:type="paragraph" w:styleId="NormalWeb">
    <w:name w:val="Normal (Web)"/>
    <w:basedOn w:val="Normal"/>
    <w:uiPriority w:val="99"/>
    <w:semiHidden/>
    <w:unhideWhenUsed/>
    <w:rsid w:val="0092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9325">
      <w:bodyDiv w:val="1"/>
      <w:marLeft w:val="0"/>
      <w:marRight w:val="0"/>
      <w:marTop w:val="0"/>
      <w:marBottom w:val="0"/>
      <w:divBdr>
        <w:top w:val="none" w:sz="0" w:space="0" w:color="auto"/>
        <w:left w:val="none" w:sz="0" w:space="0" w:color="auto"/>
        <w:bottom w:val="none" w:sz="0" w:space="0" w:color="auto"/>
        <w:right w:val="none" w:sz="0" w:space="0" w:color="auto"/>
      </w:divBdr>
    </w:div>
    <w:div w:id="23098073">
      <w:bodyDiv w:val="1"/>
      <w:marLeft w:val="0"/>
      <w:marRight w:val="0"/>
      <w:marTop w:val="0"/>
      <w:marBottom w:val="0"/>
      <w:divBdr>
        <w:top w:val="none" w:sz="0" w:space="0" w:color="auto"/>
        <w:left w:val="none" w:sz="0" w:space="0" w:color="auto"/>
        <w:bottom w:val="none" w:sz="0" w:space="0" w:color="auto"/>
        <w:right w:val="none" w:sz="0" w:space="0" w:color="auto"/>
      </w:divBdr>
      <w:divsChild>
        <w:div w:id="468977654">
          <w:marLeft w:val="0"/>
          <w:marRight w:val="0"/>
          <w:marTop w:val="0"/>
          <w:marBottom w:val="0"/>
          <w:divBdr>
            <w:top w:val="none" w:sz="0" w:space="0" w:color="auto"/>
            <w:left w:val="none" w:sz="0" w:space="0" w:color="auto"/>
            <w:bottom w:val="none" w:sz="0" w:space="0" w:color="auto"/>
            <w:right w:val="none" w:sz="0" w:space="0" w:color="auto"/>
          </w:divBdr>
          <w:divsChild>
            <w:div w:id="136532551">
              <w:marLeft w:val="0"/>
              <w:marRight w:val="0"/>
              <w:marTop w:val="0"/>
              <w:marBottom w:val="0"/>
              <w:divBdr>
                <w:top w:val="none" w:sz="0" w:space="0" w:color="auto"/>
                <w:left w:val="none" w:sz="0" w:space="0" w:color="auto"/>
                <w:bottom w:val="none" w:sz="0" w:space="0" w:color="auto"/>
                <w:right w:val="none" w:sz="0" w:space="0" w:color="auto"/>
              </w:divBdr>
              <w:divsChild>
                <w:div w:id="1554386385">
                  <w:marLeft w:val="0"/>
                  <w:marRight w:val="0"/>
                  <w:marTop w:val="0"/>
                  <w:marBottom w:val="0"/>
                  <w:divBdr>
                    <w:top w:val="none" w:sz="0" w:space="0" w:color="auto"/>
                    <w:left w:val="none" w:sz="0" w:space="0" w:color="auto"/>
                    <w:bottom w:val="none" w:sz="0" w:space="0" w:color="auto"/>
                    <w:right w:val="none" w:sz="0" w:space="0" w:color="auto"/>
                  </w:divBdr>
                  <w:divsChild>
                    <w:div w:id="1438981174">
                      <w:marLeft w:val="0"/>
                      <w:marRight w:val="0"/>
                      <w:marTop w:val="0"/>
                      <w:marBottom w:val="0"/>
                      <w:divBdr>
                        <w:top w:val="none" w:sz="0" w:space="0" w:color="auto"/>
                        <w:left w:val="none" w:sz="0" w:space="0" w:color="auto"/>
                        <w:bottom w:val="none" w:sz="0" w:space="0" w:color="auto"/>
                        <w:right w:val="none" w:sz="0" w:space="0" w:color="auto"/>
                      </w:divBdr>
                      <w:divsChild>
                        <w:div w:id="166604729">
                          <w:marLeft w:val="0"/>
                          <w:marRight w:val="0"/>
                          <w:marTop w:val="0"/>
                          <w:marBottom w:val="0"/>
                          <w:divBdr>
                            <w:top w:val="none" w:sz="0" w:space="0" w:color="auto"/>
                            <w:left w:val="none" w:sz="0" w:space="0" w:color="auto"/>
                            <w:bottom w:val="none" w:sz="0" w:space="0" w:color="auto"/>
                            <w:right w:val="none" w:sz="0" w:space="0" w:color="auto"/>
                          </w:divBdr>
                          <w:divsChild>
                            <w:div w:id="2033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68688">
      <w:bodyDiv w:val="1"/>
      <w:marLeft w:val="0"/>
      <w:marRight w:val="0"/>
      <w:marTop w:val="0"/>
      <w:marBottom w:val="0"/>
      <w:divBdr>
        <w:top w:val="none" w:sz="0" w:space="0" w:color="auto"/>
        <w:left w:val="none" w:sz="0" w:space="0" w:color="auto"/>
        <w:bottom w:val="none" w:sz="0" w:space="0" w:color="auto"/>
        <w:right w:val="none" w:sz="0" w:space="0" w:color="auto"/>
      </w:divBdr>
    </w:div>
    <w:div w:id="154229547">
      <w:bodyDiv w:val="1"/>
      <w:marLeft w:val="0"/>
      <w:marRight w:val="0"/>
      <w:marTop w:val="0"/>
      <w:marBottom w:val="0"/>
      <w:divBdr>
        <w:top w:val="none" w:sz="0" w:space="0" w:color="auto"/>
        <w:left w:val="none" w:sz="0" w:space="0" w:color="auto"/>
        <w:bottom w:val="none" w:sz="0" w:space="0" w:color="auto"/>
        <w:right w:val="none" w:sz="0" w:space="0" w:color="auto"/>
      </w:divBdr>
    </w:div>
    <w:div w:id="345181400">
      <w:bodyDiv w:val="1"/>
      <w:marLeft w:val="0"/>
      <w:marRight w:val="0"/>
      <w:marTop w:val="0"/>
      <w:marBottom w:val="0"/>
      <w:divBdr>
        <w:top w:val="none" w:sz="0" w:space="0" w:color="auto"/>
        <w:left w:val="none" w:sz="0" w:space="0" w:color="auto"/>
        <w:bottom w:val="none" w:sz="0" w:space="0" w:color="auto"/>
        <w:right w:val="none" w:sz="0" w:space="0" w:color="auto"/>
      </w:divBdr>
    </w:div>
    <w:div w:id="572549111">
      <w:bodyDiv w:val="1"/>
      <w:marLeft w:val="0"/>
      <w:marRight w:val="0"/>
      <w:marTop w:val="0"/>
      <w:marBottom w:val="0"/>
      <w:divBdr>
        <w:top w:val="none" w:sz="0" w:space="0" w:color="auto"/>
        <w:left w:val="none" w:sz="0" w:space="0" w:color="auto"/>
        <w:bottom w:val="none" w:sz="0" w:space="0" w:color="auto"/>
        <w:right w:val="none" w:sz="0" w:space="0" w:color="auto"/>
      </w:divBdr>
    </w:div>
    <w:div w:id="812871773">
      <w:bodyDiv w:val="1"/>
      <w:marLeft w:val="0"/>
      <w:marRight w:val="0"/>
      <w:marTop w:val="0"/>
      <w:marBottom w:val="0"/>
      <w:divBdr>
        <w:top w:val="none" w:sz="0" w:space="0" w:color="auto"/>
        <w:left w:val="none" w:sz="0" w:space="0" w:color="auto"/>
        <w:bottom w:val="none" w:sz="0" w:space="0" w:color="auto"/>
        <w:right w:val="none" w:sz="0" w:space="0" w:color="auto"/>
      </w:divBdr>
    </w:div>
    <w:div w:id="899481673">
      <w:bodyDiv w:val="1"/>
      <w:marLeft w:val="0"/>
      <w:marRight w:val="0"/>
      <w:marTop w:val="0"/>
      <w:marBottom w:val="0"/>
      <w:divBdr>
        <w:top w:val="none" w:sz="0" w:space="0" w:color="auto"/>
        <w:left w:val="none" w:sz="0" w:space="0" w:color="auto"/>
        <w:bottom w:val="none" w:sz="0" w:space="0" w:color="auto"/>
        <w:right w:val="none" w:sz="0" w:space="0" w:color="auto"/>
      </w:divBdr>
    </w:div>
    <w:div w:id="917447077">
      <w:bodyDiv w:val="1"/>
      <w:marLeft w:val="0"/>
      <w:marRight w:val="0"/>
      <w:marTop w:val="0"/>
      <w:marBottom w:val="0"/>
      <w:divBdr>
        <w:top w:val="none" w:sz="0" w:space="0" w:color="auto"/>
        <w:left w:val="none" w:sz="0" w:space="0" w:color="auto"/>
        <w:bottom w:val="none" w:sz="0" w:space="0" w:color="auto"/>
        <w:right w:val="none" w:sz="0" w:space="0" w:color="auto"/>
      </w:divBdr>
    </w:div>
    <w:div w:id="945502947">
      <w:bodyDiv w:val="1"/>
      <w:marLeft w:val="0"/>
      <w:marRight w:val="0"/>
      <w:marTop w:val="0"/>
      <w:marBottom w:val="0"/>
      <w:divBdr>
        <w:top w:val="none" w:sz="0" w:space="0" w:color="auto"/>
        <w:left w:val="none" w:sz="0" w:space="0" w:color="auto"/>
        <w:bottom w:val="none" w:sz="0" w:space="0" w:color="auto"/>
        <w:right w:val="none" w:sz="0" w:space="0" w:color="auto"/>
      </w:divBdr>
    </w:div>
    <w:div w:id="985746365">
      <w:bodyDiv w:val="1"/>
      <w:marLeft w:val="0"/>
      <w:marRight w:val="0"/>
      <w:marTop w:val="0"/>
      <w:marBottom w:val="0"/>
      <w:divBdr>
        <w:top w:val="none" w:sz="0" w:space="0" w:color="auto"/>
        <w:left w:val="none" w:sz="0" w:space="0" w:color="auto"/>
        <w:bottom w:val="none" w:sz="0" w:space="0" w:color="auto"/>
        <w:right w:val="none" w:sz="0" w:space="0" w:color="auto"/>
      </w:divBdr>
    </w:div>
    <w:div w:id="1111241663">
      <w:bodyDiv w:val="1"/>
      <w:marLeft w:val="0"/>
      <w:marRight w:val="0"/>
      <w:marTop w:val="0"/>
      <w:marBottom w:val="0"/>
      <w:divBdr>
        <w:top w:val="none" w:sz="0" w:space="0" w:color="auto"/>
        <w:left w:val="none" w:sz="0" w:space="0" w:color="auto"/>
        <w:bottom w:val="none" w:sz="0" w:space="0" w:color="auto"/>
        <w:right w:val="none" w:sz="0" w:space="0" w:color="auto"/>
      </w:divBdr>
    </w:div>
    <w:div w:id="1288194576">
      <w:bodyDiv w:val="1"/>
      <w:marLeft w:val="0"/>
      <w:marRight w:val="0"/>
      <w:marTop w:val="0"/>
      <w:marBottom w:val="0"/>
      <w:divBdr>
        <w:top w:val="none" w:sz="0" w:space="0" w:color="auto"/>
        <w:left w:val="none" w:sz="0" w:space="0" w:color="auto"/>
        <w:bottom w:val="none" w:sz="0" w:space="0" w:color="auto"/>
        <w:right w:val="none" w:sz="0" w:space="0" w:color="auto"/>
      </w:divBdr>
    </w:div>
    <w:div w:id="1531793976">
      <w:bodyDiv w:val="1"/>
      <w:marLeft w:val="0"/>
      <w:marRight w:val="0"/>
      <w:marTop w:val="0"/>
      <w:marBottom w:val="0"/>
      <w:divBdr>
        <w:top w:val="none" w:sz="0" w:space="0" w:color="auto"/>
        <w:left w:val="none" w:sz="0" w:space="0" w:color="auto"/>
        <w:bottom w:val="none" w:sz="0" w:space="0" w:color="auto"/>
        <w:right w:val="none" w:sz="0" w:space="0" w:color="auto"/>
      </w:divBdr>
    </w:div>
    <w:div w:id="1554195421">
      <w:bodyDiv w:val="1"/>
      <w:marLeft w:val="0"/>
      <w:marRight w:val="0"/>
      <w:marTop w:val="0"/>
      <w:marBottom w:val="0"/>
      <w:divBdr>
        <w:top w:val="none" w:sz="0" w:space="0" w:color="auto"/>
        <w:left w:val="none" w:sz="0" w:space="0" w:color="auto"/>
        <w:bottom w:val="none" w:sz="0" w:space="0" w:color="auto"/>
        <w:right w:val="none" w:sz="0" w:space="0" w:color="auto"/>
      </w:divBdr>
    </w:div>
    <w:div w:id="1593388939">
      <w:bodyDiv w:val="1"/>
      <w:marLeft w:val="0"/>
      <w:marRight w:val="0"/>
      <w:marTop w:val="0"/>
      <w:marBottom w:val="0"/>
      <w:divBdr>
        <w:top w:val="none" w:sz="0" w:space="0" w:color="auto"/>
        <w:left w:val="none" w:sz="0" w:space="0" w:color="auto"/>
        <w:bottom w:val="none" w:sz="0" w:space="0" w:color="auto"/>
        <w:right w:val="none" w:sz="0" w:space="0" w:color="auto"/>
      </w:divBdr>
    </w:div>
    <w:div w:id="1804693342">
      <w:bodyDiv w:val="1"/>
      <w:marLeft w:val="0"/>
      <w:marRight w:val="0"/>
      <w:marTop w:val="0"/>
      <w:marBottom w:val="0"/>
      <w:divBdr>
        <w:top w:val="none" w:sz="0" w:space="0" w:color="auto"/>
        <w:left w:val="none" w:sz="0" w:space="0" w:color="auto"/>
        <w:bottom w:val="none" w:sz="0" w:space="0" w:color="auto"/>
        <w:right w:val="none" w:sz="0" w:space="0" w:color="auto"/>
      </w:divBdr>
      <w:divsChild>
        <w:div w:id="1224683740">
          <w:marLeft w:val="0"/>
          <w:marRight w:val="0"/>
          <w:marTop w:val="0"/>
          <w:marBottom w:val="0"/>
          <w:divBdr>
            <w:top w:val="none" w:sz="0" w:space="0" w:color="auto"/>
            <w:left w:val="none" w:sz="0" w:space="0" w:color="auto"/>
            <w:bottom w:val="none" w:sz="0" w:space="0" w:color="auto"/>
            <w:right w:val="none" w:sz="0" w:space="0" w:color="auto"/>
          </w:divBdr>
          <w:divsChild>
            <w:div w:id="1638148241">
              <w:marLeft w:val="0"/>
              <w:marRight w:val="0"/>
              <w:marTop w:val="0"/>
              <w:marBottom w:val="0"/>
              <w:divBdr>
                <w:top w:val="none" w:sz="0" w:space="0" w:color="auto"/>
                <w:left w:val="none" w:sz="0" w:space="0" w:color="auto"/>
                <w:bottom w:val="none" w:sz="0" w:space="0" w:color="auto"/>
                <w:right w:val="none" w:sz="0" w:space="0" w:color="auto"/>
              </w:divBdr>
              <w:divsChild>
                <w:div w:id="1041170641">
                  <w:marLeft w:val="0"/>
                  <w:marRight w:val="0"/>
                  <w:marTop w:val="0"/>
                  <w:marBottom w:val="0"/>
                  <w:divBdr>
                    <w:top w:val="none" w:sz="0" w:space="0" w:color="auto"/>
                    <w:left w:val="none" w:sz="0" w:space="0" w:color="auto"/>
                    <w:bottom w:val="none" w:sz="0" w:space="0" w:color="auto"/>
                    <w:right w:val="none" w:sz="0" w:space="0" w:color="auto"/>
                  </w:divBdr>
                  <w:divsChild>
                    <w:div w:id="18494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453">
          <w:marLeft w:val="0"/>
          <w:marRight w:val="0"/>
          <w:marTop w:val="0"/>
          <w:marBottom w:val="0"/>
          <w:divBdr>
            <w:top w:val="none" w:sz="0" w:space="0" w:color="auto"/>
            <w:left w:val="none" w:sz="0" w:space="0" w:color="auto"/>
            <w:bottom w:val="none" w:sz="0" w:space="0" w:color="auto"/>
            <w:right w:val="none" w:sz="0" w:space="0" w:color="auto"/>
          </w:divBdr>
          <w:divsChild>
            <w:div w:id="757948236">
              <w:marLeft w:val="0"/>
              <w:marRight w:val="0"/>
              <w:marTop w:val="0"/>
              <w:marBottom w:val="0"/>
              <w:divBdr>
                <w:top w:val="none" w:sz="0" w:space="0" w:color="auto"/>
                <w:left w:val="none" w:sz="0" w:space="0" w:color="auto"/>
                <w:bottom w:val="none" w:sz="0" w:space="0" w:color="auto"/>
                <w:right w:val="none" w:sz="0" w:space="0" w:color="auto"/>
              </w:divBdr>
              <w:divsChild>
                <w:div w:id="817260702">
                  <w:marLeft w:val="0"/>
                  <w:marRight w:val="0"/>
                  <w:marTop w:val="0"/>
                  <w:marBottom w:val="0"/>
                  <w:divBdr>
                    <w:top w:val="none" w:sz="0" w:space="0" w:color="auto"/>
                    <w:left w:val="none" w:sz="0" w:space="0" w:color="auto"/>
                    <w:bottom w:val="none" w:sz="0" w:space="0" w:color="auto"/>
                    <w:right w:val="none" w:sz="0" w:space="0" w:color="auto"/>
                  </w:divBdr>
                  <w:divsChild>
                    <w:div w:id="283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7052">
      <w:bodyDiv w:val="1"/>
      <w:marLeft w:val="0"/>
      <w:marRight w:val="0"/>
      <w:marTop w:val="0"/>
      <w:marBottom w:val="0"/>
      <w:divBdr>
        <w:top w:val="none" w:sz="0" w:space="0" w:color="auto"/>
        <w:left w:val="none" w:sz="0" w:space="0" w:color="auto"/>
        <w:bottom w:val="none" w:sz="0" w:space="0" w:color="auto"/>
        <w:right w:val="none" w:sz="0" w:space="0" w:color="auto"/>
      </w:divBdr>
    </w:div>
    <w:div w:id="2009402521">
      <w:bodyDiv w:val="1"/>
      <w:marLeft w:val="0"/>
      <w:marRight w:val="0"/>
      <w:marTop w:val="0"/>
      <w:marBottom w:val="0"/>
      <w:divBdr>
        <w:top w:val="none" w:sz="0" w:space="0" w:color="auto"/>
        <w:left w:val="none" w:sz="0" w:space="0" w:color="auto"/>
        <w:bottom w:val="none" w:sz="0" w:space="0" w:color="auto"/>
        <w:right w:val="none" w:sz="0" w:space="0" w:color="auto"/>
      </w:divBdr>
      <w:divsChild>
        <w:div w:id="865213296">
          <w:marLeft w:val="0"/>
          <w:marRight w:val="0"/>
          <w:marTop w:val="0"/>
          <w:marBottom w:val="0"/>
          <w:divBdr>
            <w:top w:val="none" w:sz="0" w:space="0" w:color="auto"/>
            <w:left w:val="none" w:sz="0" w:space="0" w:color="auto"/>
            <w:bottom w:val="none" w:sz="0" w:space="0" w:color="auto"/>
            <w:right w:val="none" w:sz="0" w:space="0" w:color="auto"/>
          </w:divBdr>
          <w:divsChild>
            <w:div w:id="1934432639">
              <w:marLeft w:val="0"/>
              <w:marRight w:val="0"/>
              <w:marTop w:val="0"/>
              <w:marBottom w:val="0"/>
              <w:divBdr>
                <w:top w:val="none" w:sz="0" w:space="0" w:color="auto"/>
                <w:left w:val="none" w:sz="0" w:space="0" w:color="auto"/>
                <w:bottom w:val="none" w:sz="0" w:space="0" w:color="auto"/>
                <w:right w:val="none" w:sz="0" w:space="0" w:color="auto"/>
              </w:divBdr>
              <w:divsChild>
                <w:div w:id="1375158596">
                  <w:marLeft w:val="0"/>
                  <w:marRight w:val="0"/>
                  <w:marTop w:val="0"/>
                  <w:marBottom w:val="0"/>
                  <w:divBdr>
                    <w:top w:val="none" w:sz="0" w:space="0" w:color="auto"/>
                    <w:left w:val="none" w:sz="0" w:space="0" w:color="auto"/>
                    <w:bottom w:val="none" w:sz="0" w:space="0" w:color="auto"/>
                    <w:right w:val="none" w:sz="0" w:space="0" w:color="auto"/>
                  </w:divBdr>
                  <w:divsChild>
                    <w:div w:id="13869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6378">
          <w:marLeft w:val="0"/>
          <w:marRight w:val="0"/>
          <w:marTop w:val="0"/>
          <w:marBottom w:val="0"/>
          <w:divBdr>
            <w:top w:val="none" w:sz="0" w:space="0" w:color="auto"/>
            <w:left w:val="none" w:sz="0" w:space="0" w:color="auto"/>
            <w:bottom w:val="none" w:sz="0" w:space="0" w:color="auto"/>
            <w:right w:val="none" w:sz="0" w:space="0" w:color="auto"/>
          </w:divBdr>
          <w:divsChild>
            <w:div w:id="1421174402">
              <w:marLeft w:val="0"/>
              <w:marRight w:val="0"/>
              <w:marTop w:val="0"/>
              <w:marBottom w:val="0"/>
              <w:divBdr>
                <w:top w:val="none" w:sz="0" w:space="0" w:color="auto"/>
                <w:left w:val="none" w:sz="0" w:space="0" w:color="auto"/>
                <w:bottom w:val="none" w:sz="0" w:space="0" w:color="auto"/>
                <w:right w:val="none" w:sz="0" w:space="0" w:color="auto"/>
              </w:divBdr>
              <w:divsChild>
                <w:div w:id="467557601">
                  <w:marLeft w:val="0"/>
                  <w:marRight w:val="0"/>
                  <w:marTop w:val="0"/>
                  <w:marBottom w:val="0"/>
                  <w:divBdr>
                    <w:top w:val="none" w:sz="0" w:space="0" w:color="auto"/>
                    <w:left w:val="none" w:sz="0" w:space="0" w:color="auto"/>
                    <w:bottom w:val="none" w:sz="0" w:space="0" w:color="auto"/>
                    <w:right w:val="none" w:sz="0" w:space="0" w:color="auto"/>
                  </w:divBdr>
                  <w:divsChild>
                    <w:div w:id="6220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63942">
      <w:bodyDiv w:val="1"/>
      <w:marLeft w:val="0"/>
      <w:marRight w:val="0"/>
      <w:marTop w:val="0"/>
      <w:marBottom w:val="0"/>
      <w:divBdr>
        <w:top w:val="none" w:sz="0" w:space="0" w:color="auto"/>
        <w:left w:val="none" w:sz="0" w:space="0" w:color="auto"/>
        <w:bottom w:val="none" w:sz="0" w:space="0" w:color="auto"/>
        <w:right w:val="none" w:sz="0" w:space="0" w:color="auto"/>
      </w:divBdr>
    </w:div>
    <w:div w:id="2100640214">
      <w:bodyDiv w:val="1"/>
      <w:marLeft w:val="0"/>
      <w:marRight w:val="0"/>
      <w:marTop w:val="0"/>
      <w:marBottom w:val="0"/>
      <w:divBdr>
        <w:top w:val="none" w:sz="0" w:space="0" w:color="auto"/>
        <w:left w:val="none" w:sz="0" w:space="0" w:color="auto"/>
        <w:bottom w:val="none" w:sz="0" w:space="0" w:color="auto"/>
        <w:right w:val="none" w:sz="0" w:space="0" w:color="auto"/>
      </w:divBdr>
      <w:divsChild>
        <w:div w:id="707729790">
          <w:marLeft w:val="0"/>
          <w:marRight w:val="0"/>
          <w:marTop w:val="0"/>
          <w:marBottom w:val="0"/>
          <w:divBdr>
            <w:top w:val="none" w:sz="0" w:space="0" w:color="auto"/>
            <w:left w:val="none" w:sz="0" w:space="0" w:color="auto"/>
            <w:bottom w:val="none" w:sz="0" w:space="0" w:color="auto"/>
            <w:right w:val="none" w:sz="0" w:space="0" w:color="auto"/>
          </w:divBdr>
          <w:divsChild>
            <w:div w:id="757868915">
              <w:marLeft w:val="0"/>
              <w:marRight w:val="0"/>
              <w:marTop w:val="0"/>
              <w:marBottom w:val="0"/>
              <w:divBdr>
                <w:top w:val="none" w:sz="0" w:space="0" w:color="auto"/>
                <w:left w:val="none" w:sz="0" w:space="0" w:color="auto"/>
                <w:bottom w:val="none" w:sz="0" w:space="0" w:color="auto"/>
                <w:right w:val="none" w:sz="0" w:space="0" w:color="auto"/>
              </w:divBdr>
              <w:divsChild>
                <w:div w:id="223878711">
                  <w:marLeft w:val="0"/>
                  <w:marRight w:val="0"/>
                  <w:marTop w:val="0"/>
                  <w:marBottom w:val="0"/>
                  <w:divBdr>
                    <w:top w:val="none" w:sz="0" w:space="0" w:color="auto"/>
                    <w:left w:val="none" w:sz="0" w:space="0" w:color="auto"/>
                    <w:bottom w:val="none" w:sz="0" w:space="0" w:color="auto"/>
                    <w:right w:val="none" w:sz="0" w:space="0" w:color="auto"/>
                  </w:divBdr>
                  <w:divsChild>
                    <w:div w:id="1286695096">
                      <w:marLeft w:val="0"/>
                      <w:marRight w:val="0"/>
                      <w:marTop w:val="0"/>
                      <w:marBottom w:val="0"/>
                      <w:divBdr>
                        <w:top w:val="none" w:sz="0" w:space="0" w:color="auto"/>
                        <w:left w:val="none" w:sz="0" w:space="0" w:color="auto"/>
                        <w:bottom w:val="none" w:sz="0" w:space="0" w:color="auto"/>
                        <w:right w:val="none" w:sz="0" w:space="0" w:color="auto"/>
                      </w:divBdr>
                      <w:divsChild>
                        <w:div w:id="1715231218">
                          <w:marLeft w:val="0"/>
                          <w:marRight w:val="0"/>
                          <w:marTop w:val="0"/>
                          <w:marBottom w:val="0"/>
                          <w:divBdr>
                            <w:top w:val="none" w:sz="0" w:space="0" w:color="auto"/>
                            <w:left w:val="none" w:sz="0" w:space="0" w:color="auto"/>
                            <w:bottom w:val="none" w:sz="0" w:space="0" w:color="auto"/>
                            <w:right w:val="none" w:sz="0" w:space="0" w:color="auto"/>
                          </w:divBdr>
                          <w:divsChild>
                            <w:div w:id="40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366266">
      <w:bodyDiv w:val="1"/>
      <w:marLeft w:val="0"/>
      <w:marRight w:val="0"/>
      <w:marTop w:val="0"/>
      <w:marBottom w:val="0"/>
      <w:divBdr>
        <w:top w:val="none" w:sz="0" w:space="0" w:color="auto"/>
        <w:left w:val="none" w:sz="0" w:space="0" w:color="auto"/>
        <w:bottom w:val="none" w:sz="0" w:space="0" w:color="auto"/>
        <w:right w:val="none" w:sz="0" w:space="0" w:color="auto"/>
      </w:divBdr>
    </w:div>
    <w:div w:id="21411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va.rodogovsky@nrc.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va.rodogovsky@nrc.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c.n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9C83BA2E61DE48AE8438237C20D399" ma:contentTypeVersion="4" ma:contentTypeDescription="Create a new document." ma:contentTypeScope="" ma:versionID="13d78440ad00adf106e705166b7b245e">
  <xsd:schema xmlns:xsd="http://www.w3.org/2001/XMLSchema" xmlns:xs="http://www.w3.org/2001/XMLSchema" xmlns:p="http://schemas.microsoft.com/office/2006/metadata/properties" xmlns:ns2="c52fa404-9d54-4490-b2cb-2e80fce55973" targetNamespace="http://schemas.microsoft.com/office/2006/metadata/properties" ma:root="true" ma:fieldsID="2ca2ec775d8f880c7adbf4bd171a7815" ns2:_="">
    <xsd:import namespace="c52fa404-9d54-4490-b2cb-2e80fce55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a404-9d54-4490-b2cb-2e80fce5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28F1F-6133-47F9-817E-7F8D82BB47E3}">
  <ds:schemaRefs>
    <ds:schemaRef ds:uri="http://schemas.microsoft.com/sharepoint/v3/contenttype/forms"/>
  </ds:schemaRefs>
</ds:datastoreItem>
</file>

<file path=customXml/itemProps2.xml><?xml version="1.0" encoding="utf-8"?>
<ds:datastoreItem xmlns:ds="http://schemas.openxmlformats.org/officeDocument/2006/customXml" ds:itemID="{CC8D8152-C717-4FF5-9185-B31289B665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39B412-523D-40AC-9C34-CB7943357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a404-9d54-4490-b2cb-2e80fce5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18391</Characters>
  <Application>Microsoft Office Word</Application>
  <DocSecurity>4</DocSecurity>
  <Lines>153</Lines>
  <Paragraphs>43</Paragraphs>
  <ScaleCrop>false</ScaleCrop>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Meyrem Hassan</dc:creator>
  <cp:keywords/>
  <dc:description/>
  <cp:lastModifiedBy>Adva Rodogovsky</cp:lastModifiedBy>
  <cp:revision>2</cp:revision>
  <dcterms:created xsi:type="dcterms:W3CDTF">2025-01-02T12:32:00Z</dcterms:created>
  <dcterms:modified xsi:type="dcterms:W3CDTF">2025-01-02T12:32:00Z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0x0101004B9C83BA2E61DE48AE8438237C20D399</vt:lpwstr>
  </property>
</Properties>
</file>