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4BFB" w:rsidR="00D63D51" w:rsidP="00D63D51" w:rsidRDefault="00D63D51" w14:paraId="54AFE0C7" w14:textId="77777777">
      <w:pPr>
        <w:pStyle w:val="Heading5"/>
        <w:rPr>
          <w:rFonts w:ascii="Roboto" w:hAnsi="Roboto"/>
          <w:color w:val="F95F09"/>
          <w:sz w:val="36"/>
          <w:szCs w:val="36"/>
          <w:shd w:val="clear" w:color="auto" w:fill="FFFFFF"/>
        </w:rPr>
      </w:pPr>
      <w:r w:rsidRPr="002A20FF">
        <w:rPr>
          <w:rStyle w:val="normaltextrun"/>
          <w:rFonts w:ascii="Roboto" w:hAnsi="Roboto"/>
          <w:color w:val="F95F09"/>
          <w:sz w:val="36"/>
          <w:szCs w:val="36"/>
          <w:shd w:val="clear" w:color="auto" w:fill="FFFFFF"/>
        </w:rPr>
        <w:t>Annex 1 - Terms of Reference</w:t>
      </w:r>
      <w:r w:rsidRPr="002A20FF">
        <w:rPr>
          <w:rStyle w:val="eop"/>
          <w:rFonts w:ascii="Roboto" w:hAnsi="Roboto"/>
          <w:color w:val="F95F09"/>
          <w:sz w:val="36"/>
          <w:szCs w:val="36"/>
          <w:shd w:val="clear" w:color="auto" w:fill="FFFFFF"/>
        </w:rPr>
        <w:t> </w:t>
      </w:r>
    </w:p>
    <w:p w:rsidR="00D63D51" w:rsidP="00D63D51" w:rsidRDefault="00D63D51" w14:paraId="7A4F1BF0" w14:textId="77777777">
      <w:pPr>
        <w:autoSpaceDE w:val="0"/>
        <w:autoSpaceDN w:val="0"/>
        <w:adjustRightInd w:val="0"/>
        <w:spacing w:line="240" w:lineRule="auto"/>
        <w:rPr>
          <w:rFonts w:ascii="Roboto" w:hAnsi="Roboto" w:cs="Noto Serif"/>
          <w:b/>
          <w:bCs/>
          <w:kern w:val="0"/>
          <w:sz w:val="24"/>
          <w:szCs w:val="24"/>
          <w:lang w:val="en-GB"/>
        </w:rPr>
      </w:pPr>
    </w:p>
    <w:p w:rsidRPr="00354BFB" w:rsidR="00D63D51" w:rsidP="00D63D51" w:rsidRDefault="00D63D51" w14:paraId="47EFCABC" w14:textId="77777777">
      <w:pPr>
        <w:autoSpaceDE w:val="0"/>
        <w:autoSpaceDN w:val="0"/>
        <w:adjustRightInd w:val="0"/>
        <w:spacing w:line="240" w:lineRule="auto"/>
        <w:rPr>
          <w:rFonts w:ascii="Roboto" w:hAnsi="Roboto" w:cs="Noto Serif"/>
          <w:b/>
          <w:bCs/>
          <w:kern w:val="0"/>
          <w:sz w:val="24"/>
          <w:szCs w:val="24"/>
          <w:lang w:val="en-GB"/>
        </w:rPr>
      </w:pPr>
      <w:r w:rsidRPr="00354BFB">
        <w:rPr>
          <w:rFonts w:ascii="Roboto" w:hAnsi="Roboto" w:cs="Noto Serif"/>
          <w:b/>
          <w:bCs/>
          <w:kern w:val="0"/>
          <w:sz w:val="24"/>
          <w:szCs w:val="24"/>
          <w:lang w:val="en-GB"/>
        </w:rPr>
        <w:t>Title</w:t>
      </w:r>
    </w:p>
    <w:p w:rsidRPr="00D63D51" w:rsidR="00D63D51" w:rsidP="397D29BE" w:rsidRDefault="00D63D51" w14:paraId="435FFE69" w14:textId="65839DC5">
      <w:pPr>
        <w:autoSpaceDE w:val="0"/>
        <w:autoSpaceDN w:val="0"/>
        <w:adjustRightInd w:val="0"/>
        <w:spacing w:line="240" w:lineRule="auto"/>
        <w:rPr>
          <w:rFonts w:ascii="Roboto" w:hAnsi="Roboto" w:cs="Noto Serif"/>
          <w:b/>
          <w:bCs/>
          <w:kern w:val="0"/>
          <w:sz w:val="32"/>
          <w:szCs w:val="32"/>
        </w:rPr>
      </w:pPr>
      <w:r w:rsidRPr="00D63D51">
        <w:rPr>
          <w:rFonts w:ascii="Roboto" w:hAnsi="Roboto" w:eastAsiaTheme="majorEastAsia" w:cstheme="majorBidi"/>
          <w:color w:val="F95F09"/>
          <w:sz w:val="32"/>
          <w:szCs w:val="32"/>
        </w:rPr>
        <w:t>Strategic Plan Development of NRC Partner NGOs – Advocacy and Communication</w:t>
      </w:r>
    </w:p>
    <w:p w:rsidRPr="00571244" w:rsidR="005B302A" w:rsidP="0083137A" w:rsidRDefault="4FCF6788" w14:paraId="20A9321B" w14:textId="6CFD15E0">
      <w:pPr>
        <w:autoSpaceDE w:val="0"/>
        <w:autoSpaceDN w:val="0"/>
        <w:adjustRightInd w:val="0"/>
        <w:spacing w:line="240" w:lineRule="auto"/>
        <w:rPr>
          <w:rFonts w:ascii="Roboto" w:hAnsi="Roboto" w:cs="Noto Serif"/>
          <w:b/>
          <w:bCs/>
          <w:kern w:val="0"/>
          <w:sz w:val="24"/>
          <w:szCs w:val="24"/>
          <w:u w:val="single"/>
          <w:lang w:val="en-GB"/>
        </w:rPr>
      </w:pPr>
      <w:r w:rsidRPr="00571244">
        <w:rPr>
          <w:rFonts w:ascii="Roboto" w:hAnsi="Roboto" w:cs="Noto Serif"/>
          <w:b/>
          <w:bCs/>
          <w:kern w:val="0"/>
          <w:sz w:val="24"/>
          <w:szCs w:val="24"/>
          <w:u w:val="single"/>
          <w:lang w:val="en-GB"/>
        </w:rPr>
        <w:t>Background/Context</w:t>
      </w:r>
    </w:p>
    <w:p w:rsidR="7EE4AA96" w:rsidP="397D29BE" w:rsidRDefault="7EE4AA96" w14:paraId="3D817B67" w14:textId="0310EF5D">
      <w:pPr>
        <w:spacing w:line="240" w:lineRule="auto"/>
      </w:pPr>
      <w:r w:rsidRPr="397D29BE">
        <w:rPr>
          <w:rFonts w:ascii="Noto Serif" w:hAnsi="Noto Serif" w:cs="Noto Serif"/>
          <w:lang w:val="en-GB"/>
        </w:rPr>
        <w:t xml:space="preserve">In response to the displacement of refugees fleeing Ukraine, NRC has set up humanitarian operations for refugees arriving in the Republic of Moldova. NRC responds </w:t>
      </w:r>
      <w:r w:rsidR="00FE6665">
        <w:rPr>
          <w:rFonts w:ascii="Noto Serif" w:hAnsi="Noto Serif" w:cs="Noto Serif"/>
          <w:lang w:val="en-GB"/>
        </w:rPr>
        <w:t xml:space="preserve">by focusing on an integrated approach that combines our sectoral areas of expertise—education, livelihoods, protection, legal aid (ICLA), WASH, and shelter—working with local partners. NRC’s Country Office in the Republic of Moldova has a rich and varied set of partnerships across thematic areas, which is also one of the </w:t>
      </w:r>
      <w:r w:rsidR="0060145E">
        <w:rPr>
          <w:rFonts w:ascii="Noto Serif" w:hAnsi="Noto Serif" w:cs="Noto Serif"/>
          <w:lang w:val="en-GB"/>
        </w:rPr>
        <w:t xml:space="preserve">most extensive </w:t>
      </w:r>
      <w:r w:rsidR="00FE6665">
        <w:rPr>
          <w:rFonts w:ascii="Noto Serif" w:hAnsi="Noto Serif" w:cs="Noto Serif"/>
          <w:lang w:val="en-GB"/>
        </w:rPr>
        <w:t>and complex</w:t>
      </w:r>
      <w:r w:rsidRPr="397D29BE">
        <w:rPr>
          <w:rFonts w:ascii="Noto Serif" w:hAnsi="Noto Serif" w:cs="Noto Serif"/>
          <w:lang w:val="en-GB"/>
        </w:rPr>
        <w:t xml:space="preserve"> partnerships within NRC.</w:t>
      </w:r>
    </w:p>
    <w:p w:rsidR="7EE4AA96" w:rsidP="397D29BE" w:rsidRDefault="7EE4AA96" w14:paraId="7913873C" w14:textId="5095999D">
      <w:pPr>
        <w:spacing w:line="240" w:lineRule="auto"/>
      </w:pPr>
      <w:r w:rsidRPr="397D29BE">
        <w:rPr>
          <w:rFonts w:ascii="Noto Serif" w:hAnsi="Noto Serif" w:cs="Noto Serif"/>
        </w:rPr>
        <w:t xml:space="preserve">The partnership engagement builds on the program implementation modality and increasingly </w:t>
      </w:r>
      <w:r w:rsidRPr="397D29BE" w:rsidR="00FE6665">
        <w:rPr>
          <w:rFonts w:ascii="Noto Serif" w:hAnsi="Noto Serif" w:cs="Noto Serif"/>
        </w:rPr>
        <w:t>prioritizes</w:t>
      </w:r>
      <w:r w:rsidRPr="397D29BE">
        <w:rPr>
          <w:rFonts w:ascii="Noto Serif" w:hAnsi="Noto Serif" w:cs="Noto Serif"/>
        </w:rPr>
        <w:t xml:space="preserve"> comprehensive capacity strengthening to ensure sustainability for </w:t>
      </w:r>
      <w:r w:rsidR="00FE6665">
        <w:rPr>
          <w:rFonts w:ascii="Noto Serif" w:hAnsi="Noto Serif" w:cs="Noto Serif"/>
        </w:rPr>
        <w:t>longer-term</w:t>
      </w:r>
      <w:r w:rsidRPr="397D29BE">
        <w:rPr>
          <w:rFonts w:ascii="Noto Serif" w:hAnsi="Noto Serif" w:cs="Noto Serif"/>
        </w:rPr>
        <w:t xml:space="preserve"> viability. As one of the key strategic priorities, NRC is committed to </w:t>
      </w:r>
      <w:r w:rsidR="00FE6665">
        <w:rPr>
          <w:rFonts w:ascii="Noto Serif" w:hAnsi="Noto Serif" w:cs="Noto Serif"/>
        </w:rPr>
        <w:t>enhancing its partners' capacity</w:t>
      </w:r>
      <w:r w:rsidRPr="397D29BE">
        <w:rPr>
          <w:rFonts w:ascii="Noto Serif" w:hAnsi="Noto Serif" w:cs="Noto Serif"/>
        </w:rPr>
        <w:t xml:space="preserve"> in Moldova </w:t>
      </w:r>
      <w:r w:rsidR="0060145E">
        <w:rPr>
          <w:rFonts w:ascii="Noto Serif" w:hAnsi="Noto Serif" w:cs="Noto Serif"/>
        </w:rPr>
        <w:t>in</w:t>
      </w:r>
      <w:r w:rsidRPr="397D29BE" w:rsidR="0060145E">
        <w:rPr>
          <w:rFonts w:ascii="Noto Serif" w:hAnsi="Noto Serif" w:cs="Noto Serif"/>
        </w:rPr>
        <w:t xml:space="preserve"> </w:t>
      </w:r>
      <w:r w:rsidRPr="397D29BE">
        <w:rPr>
          <w:rFonts w:ascii="Noto Serif" w:hAnsi="Noto Serif" w:cs="Noto Serif"/>
        </w:rPr>
        <w:t>identified areas.</w:t>
      </w:r>
    </w:p>
    <w:p w:rsidRPr="0083137A" w:rsidR="00CB3CBE" w:rsidP="0083137A" w:rsidRDefault="005B302A" w14:paraId="22DBFB3F" w14:textId="505BCE10">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Purpose of the consultancy</w:t>
      </w:r>
    </w:p>
    <w:p w:rsidRPr="0083137A" w:rsidR="00FE6665" w:rsidP="0083137A" w:rsidRDefault="00FE6665" w14:paraId="10A798A3" w14:textId="28123268">
      <w:pPr>
        <w:autoSpaceDE w:val="0"/>
        <w:autoSpaceDN w:val="0"/>
        <w:adjustRightInd w:val="0"/>
        <w:spacing w:line="240" w:lineRule="auto"/>
        <w:rPr>
          <w:rFonts w:ascii="Noto Serif" w:hAnsi="Noto Serif" w:cs="Noto Serif"/>
          <w:kern w:val="0"/>
          <w:lang w:val="en-GB"/>
        </w:rPr>
      </w:pPr>
      <w:r w:rsidRPr="00FE6665">
        <w:rPr>
          <w:rFonts w:ascii="Noto Serif" w:hAnsi="Noto Serif" w:cs="Noto Serif"/>
          <w:kern w:val="0"/>
          <w:lang w:val="en-GB"/>
        </w:rPr>
        <w:t xml:space="preserve">We </w:t>
      </w:r>
      <w:r>
        <w:rPr>
          <w:rFonts w:ascii="Noto Serif" w:hAnsi="Noto Serif" w:cs="Noto Serif"/>
          <w:kern w:val="0"/>
          <w:lang w:val="en-GB"/>
        </w:rPr>
        <w:t xml:space="preserve">seek a consultancy specialising in developing robust advocacy and communication strategies for our partners. The purpose of this consultancy is not just to assess our partner's current advocacy and communication frameworks </w:t>
      </w:r>
      <w:r w:rsidR="28BCB4DA">
        <w:rPr>
          <w:rFonts w:ascii="Noto Serif" w:hAnsi="Noto Serif" w:cs="Noto Serif"/>
          <w:kern w:val="0"/>
          <w:lang w:val="en-GB"/>
        </w:rPr>
        <w:t xml:space="preserve">but to </w:t>
      </w:r>
      <w:r w:rsidR="189EA38A">
        <w:rPr>
          <w:rFonts w:ascii="Noto Serif" w:hAnsi="Noto Serif" w:cs="Noto Serif"/>
          <w:kern w:val="0"/>
          <w:lang w:val="en-GB"/>
        </w:rPr>
        <w:t xml:space="preserve">support development </w:t>
      </w:r>
      <w:r w:rsidR="28BCB4DA">
        <w:rPr>
          <w:rFonts w:ascii="Noto Serif" w:hAnsi="Noto Serif" w:cs="Noto Serif"/>
          <w:kern w:val="0"/>
          <w:lang w:val="en-GB"/>
        </w:rPr>
        <w:t xml:space="preserve">where </w:t>
      </w:r>
      <w:r w:rsidR="2E62D30D">
        <w:rPr>
          <w:rFonts w:ascii="Noto Serif" w:hAnsi="Noto Serif" w:cs="Noto Serif"/>
          <w:kern w:val="0"/>
          <w:lang w:val="en-GB"/>
        </w:rPr>
        <w:t>limited or no framework exists</w:t>
      </w:r>
      <w:r>
        <w:rPr>
          <w:rFonts w:ascii="Noto Serif" w:hAnsi="Noto Serif" w:cs="Noto Serif"/>
          <w:kern w:val="0"/>
          <w:lang w:val="en-GB"/>
        </w:rPr>
        <w:t>. By conducting a thorough evaluation</w:t>
      </w:r>
      <w:r w:rsidR="50B8C7DC">
        <w:rPr>
          <w:rFonts w:ascii="Noto Serif" w:hAnsi="Noto Serif" w:cs="Noto Serif"/>
          <w:kern w:val="0"/>
          <w:lang w:val="en-GB"/>
        </w:rPr>
        <w:t xml:space="preserve"> and supporting strengthening of advocacy frameworks</w:t>
      </w:r>
      <w:r>
        <w:rPr>
          <w:rFonts w:ascii="Noto Serif" w:hAnsi="Noto Serif" w:cs="Noto Serif"/>
          <w:kern w:val="0"/>
          <w:lang w:val="en-GB"/>
        </w:rPr>
        <w:t xml:space="preserve">, </w:t>
      </w:r>
      <w:r w:rsidRPr="48EFECDA" w:rsidR="15686489">
        <w:rPr>
          <w:rFonts w:ascii="Noto Serif" w:hAnsi="Noto Serif" w:cs="Noto Serif"/>
          <w:lang w:val="en-GB"/>
        </w:rPr>
        <w:t>partners</w:t>
      </w:r>
      <w:r>
        <w:rPr>
          <w:rFonts w:ascii="Noto Serif" w:hAnsi="Noto Serif" w:cs="Noto Serif"/>
          <w:kern w:val="0"/>
          <w:lang w:val="en-GB"/>
        </w:rPr>
        <w:t xml:space="preserve"> will identify areas for improvement and develop tailored strategies that can significantly amplify our partner's voice and impact. </w:t>
      </w:r>
      <w:r w:rsidR="028F2424">
        <w:rPr>
          <w:rFonts w:ascii="Noto Serif" w:hAnsi="Noto Serif" w:cs="Noto Serif"/>
          <w:kern w:val="0"/>
          <w:lang w:val="en-GB"/>
        </w:rPr>
        <w:t xml:space="preserve">Developed </w:t>
      </w:r>
      <w:r>
        <w:rPr>
          <w:rFonts w:ascii="Noto Serif" w:hAnsi="Noto Serif" w:cs="Noto Serif"/>
          <w:kern w:val="0"/>
          <w:lang w:val="en-GB"/>
        </w:rPr>
        <w:t>expertise will empower partners to enhance their advocacy efforts, strengthen communication with stakeholders, and achieve their organizational objectives more effectively, instilling a sense of hope and motivation in our collective efforts.</w:t>
      </w:r>
    </w:p>
    <w:p w:rsidRPr="0083137A" w:rsidR="00CB3CBE" w:rsidP="0083137A" w:rsidRDefault="005B302A" w14:paraId="4D09F4A7" w14:textId="1A90BD89">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Scope of Work</w:t>
      </w:r>
    </w:p>
    <w:p w:rsidRPr="0083137A" w:rsidR="00FE6665" w:rsidP="0083137A" w:rsidRDefault="00FE6665" w14:paraId="3E44B36D" w14:textId="40513826">
      <w:pPr>
        <w:autoSpaceDE w:val="0"/>
        <w:autoSpaceDN w:val="0"/>
        <w:adjustRightInd w:val="0"/>
        <w:spacing w:line="240" w:lineRule="auto"/>
        <w:rPr>
          <w:rFonts w:ascii="Noto Serif" w:hAnsi="Noto Serif" w:cs="Noto Serif"/>
          <w:kern w:val="0"/>
          <w:lang w:val="en-GB"/>
        </w:rPr>
      </w:pPr>
      <w:r w:rsidRPr="00FE6665">
        <w:rPr>
          <w:rFonts w:ascii="Noto Serif" w:hAnsi="Noto Serif" w:cs="Noto Serif"/>
          <w:kern w:val="0"/>
          <w:lang w:val="en-GB"/>
        </w:rPr>
        <w:t xml:space="preserve">The consultants will </w:t>
      </w:r>
      <w:r>
        <w:rPr>
          <w:rFonts w:ascii="Noto Serif" w:hAnsi="Noto Serif" w:cs="Noto Serif"/>
          <w:kern w:val="0"/>
          <w:lang w:val="en-GB"/>
        </w:rPr>
        <w:t>comprehensively assess</w:t>
      </w:r>
      <w:r w:rsidRPr="00FE6665">
        <w:rPr>
          <w:rFonts w:ascii="Noto Serif" w:hAnsi="Noto Serif" w:cs="Noto Serif"/>
          <w:kern w:val="0"/>
          <w:lang w:val="en-GB"/>
        </w:rPr>
        <w:t xml:space="preserve"> partner NGOs' current advocacy and communication strategies</w:t>
      </w:r>
      <w:r w:rsidRPr="00FE6665" w:rsidR="6E24E16D">
        <w:rPr>
          <w:rFonts w:ascii="Noto Serif" w:hAnsi="Noto Serif" w:cs="Noto Serif"/>
          <w:kern w:val="0"/>
          <w:lang w:val="en-GB"/>
        </w:rPr>
        <w:t xml:space="preserve"> (</w:t>
      </w:r>
      <w:r w:rsidRPr="00FE6665" w:rsidR="00E275FB">
        <w:rPr>
          <w:rFonts w:ascii="Noto Serif" w:hAnsi="Noto Serif" w:cs="Noto Serif"/>
          <w:kern w:val="0"/>
          <w:lang w:val="en-GB"/>
        </w:rPr>
        <w:t>up to</w:t>
      </w:r>
      <w:r w:rsidRPr="00FE6665" w:rsidR="6E24E16D">
        <w:rPr>
          <w:rFonts w:ascii="Noto Serif" w:hAnsi="Noto Serif" w:cs="Noto Serif"/>
          <w:kern w:val="0"/>
          <w:lang w:val="en-GB"/>
        </w:rPr>
        <w:t xml:space="preserve"> 4 partners)</w:t>
      </w:r>
      <w:r w:rsidRPr="00FE6665">
        <w:rPr>
          <w:rFonts w:ascii="Noto Serif" w:hAnsi="Noto Serif" w:cs="Noto Serif"/>
          <w:kern w:val="0"/>
          <w:lang w:val="en-GB"/>
        </w:rPr>
        <w:t xml:space="preserve">, ensuring alignment with </w:t>
      </w:r>
      <w:r>
        <w:rPr>
          <w:rFonts w:ascii="Noto Serif" w:hAnsi="Noto Serif" w:cs="Noto Serif"/>
          <w:kern w:val="0"/>
          <w:lang w:val="en-GB"/>
        </w:rPr>
        <w:t>their</w:t>
      </w:r>
      <w:r w:rsidRPr="00FE6665">
        <w:rPr>
          <w:rFonts w:ascii="Noto Serif" w:hAnsi="Noto Serif" w:cs="Noto Serif"/>
          <w:kern w:val="0"/>
          <w:lang w:val="en-GB"/>
        </w:rPr>
        <w:t xml:space="preserve"> mission. Subsequently, they will develop bespoke communication strategies tailored to each </w:t>
      </w:r>
      <w:r w:rsidR="00E913C6">
        <w:rPr>
          <w:rFonts w:ascii="Noto Serif" w:hAnsi="Noto Serif" w:cs="Noto Serif"/>
          <w:kern w:val="0"/>
          <w:lang w:val="en-GB"/>
        </w:rPr>
        <w:t>NGO partner</w:t>
      </w:r>
      <w:r w:rsidRPr="00FE6665">
        <w:rPr>
          <w:rFonts w:ascii="Noto Serif" w:hAnsi="Noto Serif" w:cs="Noto Serif"/>
          <w:kern w:val="0"/>
          <w:lang w:val="en-GB"/>
        </w:rPr>
        <w:t xml:space="preserve">, emphasizing impactful messaging, precise audience targeting, and strategic channel selection to maximize outreach and influence. Key messages will be defined, harmonizing with the </w:t>
      </w:r>
      <w:r w:rsidR="00E913C6">
        <w:rPr>
          <w:rFonts w:ascii="Noto Serif" w:hAnsi="Noto Serif" w:cs="Noto Serif"/>
          <w:kern w:val="0"/>
          <w:lang w:val="en-GB"/>
        </w:rPr>
        <w:t>partner's</w:t>
      </w:r>
      <w:r w:rsidRPr="00FE6665" w:rsidR="00E913C6">
        <w:rPr>
          <w:rFonts w:ascii="Noto Serif" w:hAnsi="Noto Serif" w:cs="Noto Serif"/>
          <w:kern w:val="0"/>
          <w:lang w:val="en-GB"/>
        </w:rPr>
        <w:t xml:space="preserve"> </w:t>
      </w:r>
      <w:r w:rsidRPr="00FE6665">
        <w:rPr>
          <w:rFonts w:ascii="Noto Serif" w:hAnsi="Noto Serif" w:cs="Noto Serif"/>
          <w:kern w:val="0"/>
          <w:lang w:val="en-GB"/>
        </w:rPr>
        <w:t xml:space="preserve">mission, values, and objectives to maintain consistency </w:t>
      </w:r>
      <w:r w:rsidRPr="00FE6665">
        <w:rPr>
          <w:rFonts w:ascii="Noto Serif" w:hAnsi="Noto Serif" w:cs="Noto Serif"/>
          <w:kern w:val="0"/>
          <w:lang w:val="en-GB"/>
        </w:rPr>
        <w:t xml:space="preserve">and clarity in their communications. The consultants will also design </w:t>
      </w:r>
      <w:r w:rsidR="00E913C6">
        <w:rPr>
          <w:rFonts w:ascii="Noto Serif" w:hAnsi="Noto Serif" w:cs="Noto Serif"/>
          <w:kern w:val="0"/>
          <w:lang w:val="en-GB"/>
        </w:rPr>
        <w:t xml:space="preserve">a </w:t>
      </w:r>
      <w:r w:rsidRPr="00FE6665">
        <w:rPr>
          <w:rFonts w:ascii="Noto Serif" w:hAnsi="Noto Serif" w:cs="Noto Serif"/>
          <w:kern w:val="0"/>
          <w:lang w:val="en-GB"/>
        </w:rPr>
        <w:t>digital communication strateg</w:t>
      </w:r>
      <w:r w:rsidR="00E913C6">
        <w:rPr>
          <w:rFonts w:ascii="Noto Serif" w:hAnsi="Noto Serif" w:cs="Noto Serif"/>
          <w:kern w:val="0"/>
          <w:lang w:val="en-GB"/>
        </w:rPr>
        <w:t>y</w:t>
      </w:r>
      <w:r w:rsidRPr="00FE6665">
        <w:rPr>
          <w:rFonts w:ascii="Noto Serif" w:hAnsi="Noto Serif" w:cs="Noto Serif"/>
          <w:kern w:val="0"/>
          <w:lang w:val="en-GB"/>
        </w:rPr>
        <w:t xml:space="preserve">, utilizing digital platforms, social media, and online tools to amplify advocacy efforts and foster </w:t>
      </w:r>
      <w:r w:rsidR="00E913C6">
        <w:rPr>
          <w:rFonts w:ascii="Noto Serif" w:hAnsi="Noto Serif" w:cs="Noto Serif"/>
          <w:kern w:val="0"/>
          <w:lang w:val="en-GB"/>
        </w:rPr>
        <w:t>stakeholder engagement</w:t>
      </w:r>
      <w:r w:rsidRPr="00FE6665">
        <w:rPr>
          <w:rFonts w:ascii="Noto Serif" w:hAnsi="Noto Serif" w:cs="Noto Serif"/>
          <w:kern w:val="0"/>
          <w:lang w:val="en-GB"/>
        </w:rPr>
        <w:t xml:space="preserve">. Furthermore, the consultants will </w:t>
      </w:r>
      <w:r w:rsidR="00E913C6">
        <w:rPr>
          <w:rFonts w:ascii="Noto Serif" w:hAnsi="Noto Serif" w:cs="Noto Serif"/>
          <w:kern w:val="0"/>
          <w:lang w:val="en-GB"/>
        </w:rPr>
        <w:t>develop a</w:t>
      </w:r>
      <w:r w:rsidRPr="00FE6665" w:rsidR="00E913C6">
        <w:rPr>
          <w:rFonts w:ascii="Noto Serif" w:hAnsi="Noto Serif" w:cs="Noto Serif"/>
          <w:kern w:val="0"/>
          <w:lang w:val="en-GB"/>
        </w:rPr>
        <w:t xml:space="preserve"> </w:t>
      </w:r>
      <w:r w:rsidRPr="00FE6665">
        <w:rPr>
          <w:rFonts w:ascii="Noto Serif" w:hAnsi="Noto Serif" w:cs="Noto Serif"/>
          <w:kern w:val="0"/>
          <w:lang w:val="en-GB"/>
        </w:rPr>
        <w:t xml:space="preserve">targeted advocacy campaign, from planning to execution, incorporating stakeholder engagement, message dissemination, and impact measurement. Finally, they will </w:t>
      </w:r>
      <w:r w:rsidR="00E913C6">
        <w:rPr>
          <w:rFonts w:ascii="Noto Serif" w:hAnsi="Noto Serif" w:cs="Noto Serif"/>
          <w:kern w:val="0"/>
          <w:lang w:val="en-GB"/>
        </w:rPr>
        <w:t>create</w:t>
      </w:r>
      <w:r w:rsidRPr="00FE6665" w:rsidR="00E913C6">
        <w:rPr>
          <w:rFonts w:ascii="Noto Serif" w:hAnsi="Noto Serif" w:cs="Noto Serif"/>
          <w:kern w:val="0"/>
          <w:lang w:val="en-GB"/>
        </w:rPr>
        <w:t xml:space="preserve"> </w:t>
      </w:r>
      <w:r w:rsidRPr="00FE6665" w:rsidR="09C32623">
        <w:rPr>
          <w:rFonts w:ascii="Noto Serif" w:hAnsi="Noto Serif" w:cs="Noto Serif"/>
          <w:kern w:val="0"/>
          <w:lang w:val="en-GB"/>
        </w:rPr>
        <w:t xml:space="preserve">a mechanism to </w:t>
      </w:r>
      <w:r w:rsidRPr="00FE6665">
        <w:rPr>
          <w:rFonts w:ascii="Noto Serif" w:hAnsi="Noto Serif" w:cs="Noto Serif"/>
          <w:kern w:val="0"/>
          <w:lang w:val="en-GB"/>
        </w:rPr>
        <w:t xml:space="preserve">assess strategy effectiveness, track key performance indicators, and offer data-driven insights for continual </w:t>
      </w:r>
      <w:r w:rsidRPr="00FE6665" w:rsidR="00E913C6">
        <w:rPr>
          <w:rFonts w:ascii="Noto Serif" w:hAnsi="Noto Serif" w:cs="Noto Serif"/>
          <w:kern w:val="0"/>
          <w:lang w:val="en-GB"/>
        </w:rPr>
        <w:t>enhancement.</w:t>
      </w:r>
    </w:p>
    <w:p w:rsidR="005B302A" w:rsidP="0083137A" w:rsidRDefault="005B302A" w14:paraId="10236806" w14:textId="2076C6C8">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Elements of the plan will include but not limited to:</w:t>
      </w:r>
    </w:p>
    <w:p w:rsidRPr="009A1033" w:rsidR="00261F53" w:rsidP="00261F53" w:rsidRDefault="00261F53" w14:paraId="059049CA" w14:textId="088158AA">
      <w:pPr>
        <w:pStyle w:val="ListParagraph"/>
        <w:numPr>
          <w:ilvl w:val="0"/>
          <w:numId w:val="17"/>
        </w:numPr>
        <w:rPr>
          <w:rFonts w:ascii="Noto Serif" w:hAnsi="Noto Serif" w:cs="Noto Serif"/>
          <w:kern w:val="0"/>
          <w:lang w:val="en-GB"/>
        </w:rPr>
      </w:pPr>
      <w:r w:rsidRPr="009A1033">
        <w:rPr>
          <w:rFonts w:ascii="Noto Serif" w:hAnsi="Noto Serif" w:cs="Noto Serif"/>
          <w:kern w:val="0"/>
          <w:lang w:val="en-GB"/>
        </w:rPr>
        <w:t>Assessment Services</w:t>
      </w:r>
    </w:p>
    <w:p w:rsidRPr="009A1033" w:rsidR="00261F53" w:rsidP="00261F53" w:rsidRDefault="009A1033" w14:paraId="52145984" w14:textId="7662757C">
      <w:pPr>
        <w:pStyle w:val="ListParagraph"/>
        <w:numPr>
          <w:ilvl w:val="0"/>
          <w:numId w:val="17"/>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kern w:val="0"/>
          <w:lang w:val="en-GB"/>
        </w:rPr>
        <w:t>Communication strategy development</w:t>
      </w:r>
    </w:p>
    <w:p w:rsidRPr="009A1033" w:rsidR="009A1033" w:rsidP="00261F53" w:rsidRDefault="005C2984" w14:paraId="1398EFCB" w14:textId="630E2CD2">
      <w:pPr>
        <w:pStyle w:val="ListParagraph"/>
        <w:numPr>
          <w:ilvl w:val="0"/>
          <w:numId w:val="17"/>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 xml:space="preserve">Key </w:t>
      </w:r>
      <w:r w:rsidRPr="009A1033" w:rsidR="009A1033">
        <w:rPr>
          <w:rFonts w:ascii="Noto Serif" w:hAnsi="Noto Serif" w:cs="Noto Serif"/>
          <w:kern w:val="0"/>
          <w:lang w:val="en-GB"/>
        </w:rPr>
        <w:t>Message</w:t>
      </w:r>
      <w:r>
        <w:rPr>
          <w:rFonts w:ascii="Noto Serif" w:hAnsi="Noto Serif" w:cs="Noto Serif"/>
          <w:kern w:val="0"/>
          <w:lang w:val="en-GB"/>
        </w:rPr>
        <w:t>s</w:t>
      </w:r>
      <w:r w:rsidRPr="009A1033" w:rsidR="009A1033">
        <w:rPr>
          <w:rFonts w:ascii="Noto Serif" w:hAnsi="Noto Serif" w:cs="Noto Serif"/>
          <w:kern w:val="0"/>
          <w:lang w:val="en-GB"/>
        </w:rPr>
        <w:t xml:space="preserve"> </w:t>
      </w:r>
    </w:p>
    <w:p w:rsidRPr="009A1033" w:rsidR="009A1033" w:rsidP="00261F53" w:rsidRDefault="009A1033" w14:paraId="281AE18E" w14:textId="5DBB2B32">
      <w:pPr>
        <w:pStyle w:val="ListParagraph"/>
        <w:numPr>
          <w:ilvl w:val="0"/>
          <w:numId w:val="17"/>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kern w:val="0"/>
          <w:lang w:val="en-GB"/>
        </w:rPr>
        <w:t>Digital communication strategy</w:t>
      </w:r>
    </w:p>
    <w:p w:rsidRPr="009A1033" w:rsidR="009A1033" w:rsidP="00261F53" w:rsidRDefault="009A1033" w14:paraId="5E04D507" w14:textId="149E6E73">
      <w:pPr>
        <w:pStyle w:val="ListParagraph"/>
        <w:numPr>
          <w:ilvl w:val="0"/>
          <w:numId w:val="17"/>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kern w:val="0"/>
          <w:lang w:val="en-GB"/>
        </w:rPr>
        <w:t>Advocacy Campaign</w:t>
      </w:r>
    </w:p>
    <w:p w:rsidRPr="00E275FB" w:rsidR="005B302A" w:rsidP="0083137A" w:rsidRDefault="005C2984" w14:paraId="08CD813D" w14:textId="03DC33E9">
      <w:pPr>
        <w:pStyle w:val="ListParagraph"/>
        <w:numPr>
          <w:ilvl w:val="0"/>
          <w:numId w:val="17"/>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 xml:space="preserve">Monitoring and </w:t>
      </w:r>
      <w:r w:rsidR="00FE6665">
        <w:rPr>
          <w:rFonts w:ascii="Noto Serif" w:hAnsi="Noto Serif" w:cs="Noto Serif"/>
          <w:kern w:val="0"/>
          <w:lang w:val="en-GB"/>
        </w:rPr>
        <w:t>Evaluation</w:t>
      </w:r>
    </w:p>
    <w:p w:rsidRPr="0083137A" w:rsidR="005B302A" w:rsidP="0083137A" w:rsidRDefault="005B302A" w14:paraId="11CEF4CB" w14:textId="07B4BC01">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Specific Task</w:t>
      </w:r>
    </w:p>
    <w:p w:rsidR="009A1033" w:rsidP="009A1033" w:rsidRDefault="00261F53" w14:paraId="5996CCEC" w14:textId="44E99B40">
      <w:p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This consultancy should include s</w:t>
      </w:r>
      <w:r w:rsidRPr="00261F53">
        <w:rPr>
          <w:rFonts w:ascii="Noto Serif" w:hAnsi="Noto Serif" w:cs="Noto Serif"/>
          <w:kern w:val="0"/>
          <w:lang w:val="en-GB"/>
        </w:rPr>
        <w:t xml:space="preserve">ervices aimed at helping organizations or individuals effectively communicate their messages and advocate for </w:t>
      </w:r>
      <w:r w:rsidRPr="00261F53" w:rsidR="7B6BE50D">
        <w:rPr>
          <w:rFonts w:ascii="Noto Serif" w:hAnsi="Noto Serif" w:cs="Noto Serif"/>
          <w:kern w:val="0"/>
          <w:lang w:val="en-GB"/>
        </w:rPr>
        <w:t>identified</w:t>
      </w:r>
      <w:r w:rsidRPr="00261F53">
        <w:rPr>
          <w:rFonts w:ascii="Noto Serif" w:hAnsi="Noto Serif" w:cs="Noto Serif"/>
          <w:kern w:val="0"/>
          <w:lang w:val="en-GB"/>
        </w:rPr>
        <w:t xml:space="preserve"> causes. Here are the components that this consultancy includes:</w:t>
      </w:r>
    </w:p>
    <w:p w:rsidRPr="009A1033" w:rsidR="009A1033" w:rsidP="009A1033" w:rsidRDefault="009A1033" w14:paraId="4131C882" w14:textId="77777777">
      <w:pPr>
        <w:pStyle w:val="ListParagraph"/>
        <w:numPr>
          <w:ilvl w:val="0"/>
          <w:numId w:val="21"/>
        </w:numPr>
        <w:autoSpaceDE w:val="0"/>
        <w:autoSpaceDN w:val="0"/>
        <w:adjustRightInd w:val="0"/>
        <w:spacing w:line="240" w:lineRule="auto"/>
        <w:rPr>
          <w:rFonts w:ascii="Noto Serif" w:hAnsi="Noto Serif" w:cs="Noto Serif"/>
          <w:b/>
          <w:bCs/>
          <w:kern w:val="0"/>
          <w:lang w:val="en-GB"/>
        </w:rPr>
      </w:pPr>
      <w:r w:rsidRPr="009A1033">
        <w:rPr>
          <w:rFonts w:ascii="Noto Serif" w:hAnsi="Noto Serif" w:cs="Noto Serif"/>
          <w:b/>
          <w:bCs/>
          <w:kern w:val="0"/>
          <w:lang w:val="en-GB"/>
        </w:rPr>
        <w:t>Assessment services:</w:t>
      </w:r>
    </w:p>
    <w:p w:rsidR="009A1033" w:rsidP="009A1033" w:rsidRDefault="009A1033" w14:paraId="5D378F30" w14:textId="37318A80">
      <w:pPr>
        <w:pStyle w:val="ListParagraph"/>
        <w:numPr>
          <w:ilvl w:val="1"/>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Communication Audits:</w:t>
      </w:r>
      <w:r w:rsidRPr="009A1033">
        <w:rPr>
          <w:rFonts w:ascii="Noto Serif" w:hAnsi="Noto Serif" w:cs="Noto Serif"/>
          <w:kern w:val="0"/>
          <w:lang w:val="en-GB"/>
        </w:rPr>
        <w:t xml:space="preserve"> These evaluate the organization's</w:t>
      </w:r>
      <w:r w:rsidR="005C2984">
        <w:rPr>
          <w:rFonts w:ascii="Noto Serif" w:hAnsi="Noto Serif" w:cs="Noto Serif"/>
          <w:kern w:val="0"/>
          <w:lang w:val="en-GB"/>
        </w:rPr>
        <w:t>/partner's</w:t>
      </w:r>
      <w:r w:rsidRPr="009A1033">
        <w:rPr>
          <w:rFonts w:ascii="Noto Serif" w:hAnsi="Noto Serif" w:cs="Noto Serif"/>
          <w:kern w:val="0"/>
          <w:lang w:val="en-GB"/>
        </w:rPr>
        <w:t xml:space="preserve"> current communication practices, channels, and messaging to identify strengths, weaknesses, and areas for improvement.</w:t>
      </w:r>
    </w:p>
    <w:p w:rsidR="009A1033" w:rsidP="009A1033" w:rsidRDefault="009A1033" w14:paraId="704B0818" w14:textId="5C5E5F2A">
      <w:pPr>
        <w:pStyle w:val="ListParagraph"/>
        <w:numPr>
          <w:ilvl w:val="1"/>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Stakeholder Analysis</w:t>
      </w:r>
      <w:r w:rsidRPr="009A1033">
        <w:rPr>
          <w:rFonts w:ascii="Noto Serif" w:hAnsi="Noto Serif" w:cs="Noto Serif"/>
          <w:kern w:val="0"/>
          <w:lang w:val="en-GB"/>
        </w:rPr>
        <w:t>: Assessing the key stakeholders, their interests, concerns, and level of engagement with the organization</w:t>
      </w:r>
      <w:r w:rsidR="005C2984">
        <w:rPr>
          <w:rFonts w:ascii="Noto Serif" w:hAnsi="Noto Serif" w:cs="Noto Serif"/>
          <w:kern w:val="0"/>
          <w:lang w:val="en-GB"/>
        </w:rPr>
        <w:t>/partners</w:t>
      </w:r>
      <w:r w:rsidRPr="009A1033">
        <w:rPr>
          <w:rFonts w:ascii="Noto Serif" w:hAnsi="Noto Serif" w:cs="Noto Serif"/>
          <w:kern w:val="0"/>
          <w:lang w:val="en-GB"/>
        </w:rPr>
        <w:t xml:space="preserve"> to tailor communication strategies accordingly</w:t>
      </w:r>
      <w:r>
        <w:rPr>
          <w:rFonts w:ascii="Noto Serif" w:hAnsi="Noto Serif" w:cs="Noto Serif"/>
          <w:kern w:val="0"/>
          <w:lang w:val="en-GB"/>
        </w:rPr>
        <w:t>.</w:t>
      </w:r>
    </w:p>
    <w:p w:rsidR="009A1033" w:rsidP="009A1033" w:rsidRDefault="009A1033" w14:paraId="73D0AD2F" w14:textId="6EDFE3C6">
      <w:pPr>
        <w:pStyle w:val="ListParagraph"/>
        <w:numPr>
          <w:ilvl w:val="1"/>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Media Landscape Analysis</w:t>
      </w:r>
      <w:r w:rsidRPr="009A1033">
        <w:rPr>
          <w:rFonts w:ascii="Noto Serif" w:hAnsi="Noto Serif" w:cs="Noto Serif"/>
          <w:kern w:val="0"/>
          <w:lang w:val="en-GB"/>
        </w:rPr>
        <w:t xml:space="preserve">: </w:t>
      </w:r>
      <w:r w:rsidRPr="009A1033" w:rsidR="005C2984">
        <w:rPr>
          <w:rFonts w:ascii="Noto Serif" w:hAnsi="Noto Serif" w:cs="Noto Serif"/>
          <w:kern w:val="0"/>
          <w:lang w:val="en-GB"/>
        </w:rPr>
        <w:t>Analysing</w:t>
      </w:r>
      <w:r w:rsidRPr="009A1033">
        <w:rPr>
          <w:rFonts w:ascii="Noto Serif" w:hAnsi="Noto Serif" w:cs="Noto Serif"/>
          <w:kern w:val="0"/>
          <w:lang w:val="en-GB"/>
        </w:rPr>
        <w:t xml:space="preserve"> the media landscape</w:t>
      </w:r>
      <w:r w:rsidR="005C2984">
        <w:rPr>
          <w:rFonts w:ascii="Noto Serif" w:hAnsi="Noto Serif" w:cs="Noto Serif"/>
          <w:kern w:val="0"/>
          <w:lang w:val="en-GB"/>
        </w:rPr>
        <w:t xml:space="preserve"> in Moldova</w:t>
      </w:r>
      <w:r w:rsidRPr="009A1033">
        <w:rPr>
          <w:rFonts w:ascii="Noto Serif" w:hAnsi="Noto Serif" w:cs="Noto Serif"/>
          <w:kern w:val="0"/>
          <w:lang w:val="en-GB"/>
        </w:rPr>
        <w:t xml:space="preserve"> relevant to the </w:t>
      </w:r>
      <w:r w:rsidR="005C2984">
        <w:rPr>
          <w:rFonts w:ascii="Noto Serif" w:hAnsi="Noto Serif" w:cs="Noto Serif"/>
          <w:kern w:val="0"/>
          <w:lang w:val="en-GB"/>
        </w:rPr>
        <w:t xml:space="preserve">NOGOs and INGOs in Moldova </w:t>
      </w:r>
      <w:r w:rsidRPr="009A1033">
        <w:rPr>
          <w:rFonts w:ascii="Noto Serif" w:hAnsi="Noto Serif" w:cs="Noto Serif"/>
          <w:kern w:val="0"/>
          <w:lang w:val="en-GB"/>
        </w:rPr>
        <w:t>to understand media trends, key players, and opportunities for media coverage.</w:t>
      </w:r>
    </w:p>
    <w:p w:rsidR="009A1033" w:rsidP="009A1033" w:rsidRDefault="009A1033" w14:paraId="1EA60950" w14:textId="327C1A29">
      <w:pPr>
        <w:pStyle w:val="ListParagraph"/>
        <w:numPr>
          <w:ilvl w:val="1"/>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Digital Presence Audit:</w:t>
      </w:r>
      <w:r w:rsidRPr="009A1033">
        <w:rPr>
          <w:rFonts w:ascii="Noto Serif" w:hAnsi="Noto Serif" w:cs="Noto Serif"/>
          <w:kern w:val="0"/>
          <w:lang w:val="en-GB"/>
        </w:rPr>
        <w:t xml:space="preserve"> This involves reviewing the organization's</w:t>
      </w:r>
      <w:r w:rsidR="005C2984">
        <w:rPr>
          <w:rFonts w:ascii="Noto Serif" w:hAnsi="Noto Serif" w:cs="Noto Serif"/>
          <w:kern w:val="0"/>
          <w:lang w:val="en-GB"/>
        </w:rPr>
        <w:t xml:space="preserve">/partner's </w:t>
      </w:r>
      <w:r w:rsidRPr="009A1033">
        <w:rPr>
          <w:rFonts w:ascii="Noto Serif" w:hAnsi="Noto Serif" w:cs="Noto Serif"/>
          <w:kern w:val="0"/>
          <w:lang w:val="en-GB"/>
        </w:rPr>
        <w:t>online presence, including its website, social media profiles, and digital content, to assess effectiveness and identify areas for enhancement.</w:t>
      </w:r>
    </w:p>
    <w:p w:rsidR="009A1033" w:rsidP="009A1033" w:rsidRDefault="009A1033" w14:paraId="2253AA07" w14:textId="05ABB57B">
      <w:pPr>
        <w:pStyle w:val="ListParagraph"/>
        <w:numPr>
          <w:ilvl w:val="1"/>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Policy and Advocacy Environment Scan:</w:t>
      </w:r>
      <w:r w:rsidRPr="009A1033">
        <w:rPr>
          <w:rFonts w:ascii="Noto Serif" w:hAnsi="Noto Serif" w:cs="Noto Serif"/>
          <w:kern w:val="0"/>
          <w:lang w:val="en-GB"/>
        </w:rPr>
        <w:t xml:space="preserve"> Examining the policy landscape related to the organization's</w:t>
      </w:r>
      <w:r w:rsidR="005C2984">
        <w:rPr>
          <w:rFonts w:ascii="Noto Serif" w:hAnsi="Noto Serif" w:cs="Noto Serif"/>
          <w:kern w:val="0"/>
          <w:lang w:val="en-GB"/>
        </w:rPr>
        <w:t>/partner's</w:t>
      </w:r>
      <w:r w:rsidRPr="009A1033">
        <w:rPr>
          <w:rFonts w:ascii="Noto Serif" w:hAnsi="Noto Serif" w:cs="Noto Serif"/>
          <w:kern w:val="0"/>
          <w:lang w:val="en-GB"/>
        </w:rPr>
        <w:t xml:space="preserve"> advocacy goals, identifying relevant stakeholders, decision-makers, and potential barriers or opportunities.</w:t>
      </w:r>
    </w:p>
    <w:p w:rsidRPr="009A1033" w:rsidR="009A1033" w:rsidP="009A1033" w:rsidRDefault="009A1033" w14:paraId="3D26BE65" w14:textId="77777777">
      <w:pPr>
        <w:pStyle w:val="ListParagraph"/>
        <w:autoSpaceDE w:val="0"/>
        <w:autoSpaceDN w:val="0"/>
        <w:adjustRightInd w:val="0"/>
        <w:spacing w:line="240" w:lineRule="auto"/>
        <w:ind w:left="792"/>
        <w:rPr>
          <w:rFonts w:ascii="Noto Serif" w:hAnsi="Noto Serif" w:cs="Noto Serif"/>
          <w:kern w:val="0"/>
          <w:lang w:val="en-GB"/>
        </w:rPr>
      </w:pPr>
    </w:p>
    <w:p w:rsidRPr="009A1033" w:rsidR="009A1033" w:rsidP="009A1033" w:rsidRDefault="00261F53" w14:paraId="786E0F38" w14:textId="4DEA18A9">
      <w:pPr>
        <w:pStyle w:val="ListParagraph"/>
        <w:numPr>
          <w:ilvl w:val="0"/>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Communication Strategy Development:</w:t>
      </w:r>
      <w:r w:rsidRPr="009A1033">
        <w:rPr>
          <w:rFonts w:ascii="Noto Serif" w:hAnsi="Noto Serif" w:cs="Noto Serif"/>
          <w:kern w:val="0"/>
          <w:lang w:val="en-GB"/>
        </w:rPr>
        <w:t xml:space="preserve"> This involves creating a comprehensive plan outlining how the organization</w:t>
      </w:r>
      <w:r w:rsidR="005C2984">
        <w:rPr>
          <w:rFonts w:ascii="Noto Serif" w:hAnsi="Noto Serif" w:cs="Noto Serif"/>
          <w:kern w:val="0"/>
          <w:lang w:val="en-GB"/>
        </w:rPr>
        <w:t>/ partner</w:t>
      </w:r>
      <w:r w:rsidRPr="009A1033">
        <w:rPr>
          <w:rFonts w:ascii="Noto Serif" w:hAnsi="Noto Serif" w:cs="Noto Serif"/>
          <w:kern w:val="0"/>
          <w:lang w:val="en-GB"/>
        </w:rPr>
        <w:t xml:space="preserve"> will communicate its message, which channels it will use, and the target audience for its communications.</w:t>
      </w:r>
    </w:p>
    <w:p w:rsidRPr="009A1033" w:rsidR="009A1033" w:rsidP="009A1033" w:rsidRDefault="00261F53" w14:paraId="33241942" w14:textId="1EB52380">
      <w:pPr>
        <w:pStyle w:val="ListParagraph"/>
        <w:numPr>
          <w:ilvl w:val="0"/>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Message Development</w:t>
      </w:r>
      <w:r w:rsidRPr="009A1033">
        <w:rPr>
          <w:rFonts w:ascii="Noto Serif" w:hAnsi="Noto Serif" w:cs="Noto Serif"/>
          <w:kern w:val="0"/>
          <w:lang w:val="en-GB"/>
        </w:rPr>
        <w:t xml:space="preserve">: Craft clear, concise, and compelling messages </w:t>
      </w:r>
      <w:r w:rsidR="009A1033">
        <w:rPr>
          <w:rFonts w:ascii="Noto Serif" w:hAnsi="Noto Serif" w:cs="Noto Serif"/>
          <w:kern w:val="0"/>
          <w:lang w:val="en-GB"/>
        </w:rPr>
        <w:t>that resonate</w:t>
      </w:r>
      <w:r w:rsidRPr="009A1033">
        <w:rPr>
          <w:rFonts w:ascii="Noto Serif" w:hAnsi="Noto Serif" w:cs="Noto Serif"/>
          <w:kern w:val="0"/>
          <w:lang w:val="en-GB"/>
        </w:rPr>
        <w:t xml:space="preserve"> with the target audience and align with the organization's</w:t>
      </w:r>
      <w:r w:rsidR="005C2984">
        <w:rPr>
          <w:rFonts w:ascii="Noto Serif" w:hAnsi="Noto Serif" w:cs="Noto Serif"/>
          <w:kern w:val="0"/>
          <w:lang w:val="en-GB"/>
        </w:rPr>
        <w:t>/partner's</w:t>
      </w:r>
      <w:r w:rsidRPr="009A1033">
        <w:rPr>
          <w:rFonts w:ascii="Noto Serif" w:hAnsi="Noto Serif" w:cs="Noto Serif"/>
          <w:kern w:val="0"/>
          <w:lang w:val="en-GB"/>
        </w:rPr>
        <w:t xml:space="preserve"> goals and values.</w:t>
      </w:r>
    </w:p>
    <w:p w:rsidRPr="009A1033" w:rsidR="009A1033" w:rsidP="009A1033" w:rsidRDefault="00261F53" w14:paraId="436A7427" w14:textId="66961C1A">
      <w:pPr>
        <w:pStyle w:val="ListParagraph"/>
        <w:numPr>
          <w:ilvl w:val="0"/>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Digital Communication:</w:t>
      </w:r>
      <w:r w:rsidRPr="009A1033">
        <w:rPr>
          <w:rFonts w:ascii="Noto Serif" w:hAnsi="Noto Serif" w:cs="Noto Serif"/>
          <w:kern w:val="0"/>
          <w:lang w:val="en-GB"/>
        </w:rPr>
        <w:t xml:space="preserve"> Develo</w:t>
      </w:r>
      <w:r w:rsidR="005C2984">
        <w:rPr>
          <w:rFonts w:ascii="Noto Serif" w:hAnsi="Noto Serif" w:cs="Noto Serif"/>
          <w:kern w:val="0"/>
          <w:lang w:val="en-GB"/>
        </w:rPr>
        <w:t>p</w:t>
      </w:r>
      <w:r w:rsidRPr="009A1033">
        <w:rPr>
          <w:rFonts w:ascii="Noto Serif" w:hAnsi="Noto Serif" w:cs="Noto Serif"/>
          <w:kern w:val="0"/>
          <w:lang w:val="en-GB"/>
        </w:rPr>
        <w:t xml:space="preserve"> </w:t>
      </w:r>
      <w:r w:rsidR="005C2984">
        <w:rPr>
          <w:rFonts w:ascii="Noto Serif" w:hAnsi="Noto Serif" w:cs="Noto Serif"/>
          <w:kern w:val="0"/>
          <w:lang w:val="en-GB"/>
        </w:rPr>
        <w:t>a strategy</w:t>
      </w:r>
      <w:r w:rsidRPr="009A1033">
        <w:rPr>
          <w:rFonts w:ascii="Noto Serif" w:hAnsi="Noto Serif" w:cs="Noto Serif"/>
          <w:kern w:val="0"/>
          <w:lang w:val="en-GB"/>
        </w:rPr>
        <w:t xml:space="preserve"> for online communication, including social media management, website content, and online advertising.</w:t>
      </w:r>
    </w:p>
    <w:p w:rsidRPr="009A1033" w:rsidR="00261F53" w:rsidP="009A1033" w:rsidRDefault="00261F53" w14:paraId="49E01BE9" w14:textId="31C0C95F">
      <w:pPr>
        <w:pStyle w:val="ListParagraph"/>
        <w:numPr>
          <w:ilvl w:val="0"/>
          <w:numId w:val="21"/>
        </w:numPr>
        <w:autoSpaceDE w:val="0"/>
        <w:autoSpaceDN w:val="0"/>
        <w:adjustRightInd w:val="0"/>
        <w:spacing w:line="240" w:lineRule="auto"/>
        <w:rPr>
          <w:rFonts w:ascii="Noto Serif" w:hAnsi="Noto Serif" w:cs="Noto Serif"/>
          <w:kern w:val="0"/>
          <w:lang w:val="en-GB"/>
        </w:rPr>
      </w:pPr>
      <w:r w:rsidRPr="009A1033">
        <w:rPr>
          <w:rFonts w:ascii="Noto Serif" w:hAnsi="Noto Serif" w:cs="Noto Serif"/>
          <w:b/>
          <w:bCs/>
          <w:kern w:val="0"/>
          <w:lang w:val="en-GB"/>
        </w:rPr>
        <w:t>Advocacy Campaign:</w:t>
      </w:r>
      <w:r w:rsidRPr="009A1033">
        <w:rPr>
          <w:rFonts w:ascii="Noto Serif" w:hAnsi="Noto Serif" w:cs="Noto Serif"/>
          <w:kern w:val="0"/>
          <w:lang w:val="en-GB"/>
        </w:rPr>
        <w:t xml:space="preserve"> Design </w:t>
      </w:r>
      <w:r w:rsidR="005C2984">
        <w:rPr>
          <w:rFonts w:ascii="Noto Serif" w:hAnsi="Noto Serif" w:cs="Noto Serif"/>
          <w:kern w:val="0"/>
          <w:lang w:val="en-GB"/>
        </w:rPr>
        <w:t>an advocacy campaign</w:t>
      </w:r>
      <w:r w:rsidRPr="009A1033">
        <w:rPr>
          <w:rFonts w:ascii="Noto Serif" w:hAnsi="Noto Serif" w:cs="Noto Serif"/>
          <w:kern w:val="0"/>
          <w:lang w:val="en-GB"/>
        </w:rPr>
        <w:t xml:space="preserve"> to promote </w:t>
      </w:r>
      <w:r w:rsidR="005C2984">
        <w:rPr>
          <w:rFonts w:ascii="Noto Serif" w:hAnsi="Noto Serif" w:cs="Noto Serif"/>
          <w:kern w:val="0"/>
          <w:lang w:val="en-GB"/>
        </w:rPr>
        <w:t xml:space="preserve">a </w:t>
      </w:r>
      <w:r w:rsidRPr="009A1033">
        <w:rPr>
          <w:rFonts w:ascii="Noto Serif" w:hAnsi="Noto Serif" w:cs="Noto Serif"/>
          <w:kern w:val="0"/>
          <w:lang w:val="en-GB"/>
        </w:rPr>
        <w:t xml:space="preserve">specific </w:t>
      </w:r>
      <w:r w:rsidR="005C2984">
        <w:rPr>
          <w:rFonts w:ascii="Noto Serif" w:hAnsi="Noto Serif" w:cs="Noto Serif"/>
          <w:kern w:val="0"/>
          <w:lang w:val="en-GB"/>
        </w:rPr>
        <w:t>issue identified.</w:t>
      </w:r>
    </w:p>
    <w:p w:rsidRPr="005C2984" w:rsidR="00261F53" w:rsidP="0083137A" w:rsidRDefault="00261F53" w14:paraId="6EB65920" w14:textId="2E5D18C8">
      <w:pPr>
        <w:pStyle w:val="ListParagraph"/>
        <w:numPr>
          <w:ilvl w:val="0"/>
          <w:numId w:val="21"/>
        </w:numPr>
        <w:autoSpaceDE w:val="0"/>
        <w:autoSpaceDN w:val="0"/>
        <w:adjustRightInd w:val="0"/>
        <w:spacing w:line="240" w:lineRule="auto"/>
        <w:rPr>
          <w:rFonts w:ascii="Noto Serif" w:hAnsi="Noto Serif" w:cs="Noto Serif"/>
          <w:kern w:val="0"/>
          <w:lang w:val="en-GB"/>
        </w:rPr>
      </w:pPr>
      <w:r w:rsidRPr="005C2984">
        <w:rPr>
          <w:rFonts w:ascii="Noto Serif" w:hAnsi="Noto Serif" w:cs="Noto Serif"/>
          <w:b/>
          <w:bCs/>
          <w:kern w:val="0"/>
          <w:lang w:val="en-GB"/>
        </w:rPr>
        <w:t>Evaluation and Monitoring:</w:t>
      </w:r>
      <w:r w:rsidRPr="005C2984">
        <w:rPr>
          <w:rFonts w:ascii="Noto Serif" w:hAnsi="Noto Serif" w:cs="Noto Serif"/>
          <w:kern w:val="0"/>
          <w:lang w:val="en-GB"/>
        </w:rPr>
        <w:t xml:space="preserve"> </w:t>
      </w:r>
      <w:r w:rsidR="005C2984">
        <w:rPr>
          <w:rFonts w:ascii="Noto Serif" w:hAnsi="Noto Serif" w:cs="Noto Serif"/>
          <w:kern w:val="0"/>
          <w:lang w:val="en-GB"/>
        </w:rPr>
        <w:t>Establish</w:t>
      </w:r>
      <w:r w:rsidRPr="005C2984" w:rsidR="005C2984">
        <w:rPr>
          <w:rFonts w:ascii="Noto Serif" w:hAnsi="Noto Serif" w:cs="Noto Serif"/>
          <w:kern w:val="0"/>
          <w:lang w:val="en-GB"/>
        </w:rPr>
        <w:t xml:space="preserve"> parameters and KPIs to monitor </w:t>
      </w:r>
      <w:r w:rsidRPr="005C2984">
        <w:rPr>
          <w:rFonts w:ascii="Noto Serif" w:hAnsi="Noto Serif" w:cs="Noto Serif"/>
          <w:kern w:val="0"/>
          <w:lang w:val="en-GB"/>
        </w:rPr>
        <w:t>the effectiveness of communication and advocacy efforts</w:t>
      </w:r>
      <w:r w:rsidR="005C2984">
        <w:rPr>
          <w:rFonts w:ascii="Noto Serif" w:hAnsi="Noto Serif" w:cs="Noto Serif"/>
          <w:kern w:val="0"/>
          <w:lang w:val="en-GB"/>
        </w:rPr>
        <w:t>.</w:t>
      </w:r>
    </w:p>
    <w:p w:rsidRPr="0083137A" w:rsidR="00EB1787" w:rsidP="0083137A" w:rsidRDefault="005B302A" w14:paraId="10A351FC" w14:textId="2C73CE49">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Deliverable Outputs</w:t>
      </w:r>
    </w:p>
    <w:p w:rsidR="00EB1787" w:rsidP="0083137A" w:rsidRDefault="00E913C6" w14:paraId="70F9BA7C" w14:textId="0FBCD420">
      <w:pPr>
        <w:autoSpaceDE w:val="0"/>
        <w:autoSpaceDN w:val="0"/>
        <w:adjustRightInd w:val="0"/>
        <w:spacing w:line="240" w:lineRule="auto"/>
        <w:rPr>
          <w:rFonts w:ascii="Noto Serif" w:hAnsi="Noto Serif" w:cs="Noto Serif"/>
          <w:kern w:val="0"/>
          <w:lang w:val="en-GB"/>
        </w:rPr>
      </w:pPr>
      <w:r w:rsidR="00E913C6">
        <w:rPr>
          <w:rFonts w:ascii="Noto Serif" w:hAnsi="Noto Serif" w:cs="Noto Serif"/>
          <w:kern w:val="0"/>
          <w:lang w:val="en-GB"/>
        </w:rPr>
        <w:t>The Consultant shall prepare and complete the plan based on the above</w:t>
      </w:r>
      <w:r w:rsidRPr="00CB3CBE" w:rsidR="005B302A">
        <w:rPr>
          <w:rFonts w:ascii="Noto Serif" w:hAnsi="Noto Serif" w:cs="Noto Serif"/>
          <w:kern w:val="0"/>
          <w:lang w:val="en-GB"/>
        </w:rPr>
        <w:t>. This shall entail, among other things</w:t>
      </w:r>
      <w:r w:rsidR="00E913C6">
        <w:rPr>
          <w:rFonts w:ascii="Noto Serif" w:hAnsi="Noto Serif" w:cs="Noto Serif"/>
          <w:kern w:val="0"/>
          <w:lang w:val="en-GB"/>
        </w:rPr>
        <w:t>,</w:t>
      </w:r>
      <w:r w:rsidRPr="00CB3CBE" w:rsidR="005B302A">
        <w:rPr>
          <w:rFonts w:ascii="Noto Serif" w:hAnsi="Noto Serif" w:cs="Noto Serif"/>
          <w:kern w:val="0"/>
          <w:lang w:val="en-GB"/>
        </w:rPr>
        <w:t xml:space="preserve"> the following:</w:t>
      </w:r>
    </w:p>
    <w:tbl>
      <w:tblPr>
        <w:tblStyle w:val="TableGrid"/>
        <w:tblW w:w="0" w:type="auto"/>
        <w:tblLayout w:type="fixed"/>
        <w:tblLook w:val="04A0" w:firstRow="1" w:lastRow="0" w:firstColumn="1" w:lastColumn="0" w:noHBand="0" w:noVBand="1"/>
      </w:tblPr>
      <w:tblGrid>
        <w:gridCol w:w="3116"/>
        <w:gridCol w:w="3117"/>
        <w:gridCol w:w="3117"/>
      </w:tblGrid>
      <w:tr w:rsidR="2BA4C522" w:rsidTr="1F8DA18A" w14:paraId="514486F8">
        <w:trPr>
          <w:trHeight w:val="300"/>
        </w:trPr>
        <w:tc>
          <w:tcPr>
            <w:tcW w:w="3116" w:type="dxa"/>
            <w:tcBorders>
              <w:top w:val="single" w:sz="8"/>
              <w:left w:val="single" w:sz="8"/>
              <w:bottom w:val="single" w:sz="8"/>
              <w:right w:val="single" w:sz="8"/>
            </w:tcBorders>
            <w:tcMar>
              <w:left w:w="108" w:type="dxa"/>
              <w:right w:w="108" w:type="dxa"/>
            </w:tcMar>
            <w:vAlign w:val="top"/>
          </w:tcPr>
          <w:p w:rsidR="2BA4C522" w:rsidP="2BA4C522" w:rsidRDefault="2BA4C522" w14:paraId="2483FA2E" w14:textId="0432CE2D">
            <w:pPr>
              <w:spacing w:before="0" w:beforeAutospacing="off" w:after="0" w:afterAutospacing="off"/>
            </w:pPr>
            <w:r w:rsidRPr="2BA4C522" w:rsidR="2BA4C522">
              <w:rPr>
                <w:rFonts w:ascii="Aptos" w:hAnsi="Aptos" w:eastAsia="Aptos" w:cs="Aptos"/>
                <w:b w:val="1"/>
                <w:bCs w:val="1"/>
                <w:sz w:val="24"/>
                <w:szCs w:val="24"/>
              </w:rPr>
              <w:t>Deliverables</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31232EFD" w14:textId="48E38F6B">
            <w:pPr>
              <w:spacing w:before="0" w:beforeAutospacing="off" w:after="0" w:afterAutospacing="off"/>
            </w:pPr>
            <w:r w:rsidRPr="2BA4C522" w:rsidR="2BA4C522">
              <w:rPr>
                <w:rFonts w:ascii="Aptos" w:hAnsi="Aptos" w:eastAsia="Aptos" w:cs="Aptos"/>
                <w:b w:val="1"/>
                <w:bCs w:val="1"/>
                <w:sz w:val="24"/>
                <w:szCs w:val="24"/>
              </w:rPr>
              <w:t>Timeline</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70E01222" w14:textId="2D58F721">
            <w:pPr>
              <w:spacing w:before="0" w:beforeAutospacing="off" w:after="0" w:afterAutospacing="off"/>
            </w:pPr>
            <w:r w:rsidRPr="2BA4C522" w:rsidR="2BA4C522">
              <w:rPr>
                <w:rFonts w:ascii="Aptos" w:hAnsi="Aptos" w:eastAsia="Aptos" w:cs="Aptos"/>
                <w:b w:val="1"/>
                <w:bCs w:val="1"/>
                <w:sz w:val="24"/>
                <w:szCs w:val="24"/>
              </w:rPr>
              <w:t>Percentage of payment</w:t>
            </w:r>
          </w:p>
        </w:tc>
      </w:tr>
      <w:tr w:rsidR="2BA4C522" w:rsidTr="1F8DA18A" w14:paraId="2ACDBE5A">
        <w:trPr>
          <w:trHeight w:val="300"/>
        </w:trPr>
        <w:tc>
          <w:tcPr>
            <w:tcW w:w="3116" w:type="dxa"/>
            <w:tcBorders>
              <w:top w:val="single" w:sz="8"/>
              <w:left w:val="single" w:sz="8"/>
              <w:bottom w:val="single" w:sz="8"/>
              <w:right w:val="single" w:sz="8"/>
            </w:tcBorders>
            <w:tcMar>
              <w:left w:w="108" w:type="dxa"/>
              <w:right w:w="108" w:type="dxa"/>
            </w:tcMar>
            <w:vAlign w:val="top"/>
          </w:tcPr>
          <w:p w:rsidR="2BA4C522" w:rsidP="2BA4C522" w:rsidRDefault="2BA4C522" w14:paraId="5C078D80" w14:textId="729B466B">
            <w:pPr>
              <w:spacing w:before="0" w:beforeAutospacing="off" w:after="0" w:afterAutospacing="off"/>
            </w:pPr>
            <w:r w:rsidRPr="2BA4C522" w:rsidR="2BA4C522">
              <w:rPr>
                <w:rFonts w:ascii="Aptos" w:hAnsi="Aptos" w:eastAsia="Aptos" w:cs="Aptos"/>
                <w:sz w:val="24"/>
                <w:szCs w:val="24"/>
              </w:rPr>
              <w:t>Signing of the contract</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1D17EC8D" w14:textId="70B97CDD">
            <w:pPr>
              <w:spacing w:before="0" w:beforeAutospacing="off" w:after="0" w:afterAutospacing="off"/>
            </w:pPr>
            <w:r w:rsidRPr="2BA4C522" w:rsidR="2BA4C522">
              <w:rPr>
                <w:rFonts w:ascii="Aptos" w:hAnsi="Aptos" w:eastAsia="Aptos" w:cs="Aptos"/>
                <w:sz w:val="24"/>
                <w:szCs w:val="24"/>
              </w:rPr>
              <w:t xml:space="preserve">Immediate </w:t>
            </w:r>
          </w:p>
        </w:tc>
        <w:tc>
          <w:tcPr>
            <w:tcW w:w="3117" w:type="dxa"/>
            <w:tcBorders>
              <w:top w:val="single" w:sz="8"/>
              <w:left w:val="single" w:sz="8"/>
              <w:bottom w:val="single" w:sz="8"/>
              <w:right w:val="single" w:sz="8"/>
            </w:tcBorders>
            <w:tcMar>
              <w:left w:w="108" w:type="dxa"/>
              <w:right w:w="108" w:type="dxa"/>
            </w:tcMar>
            <w:vAlign w:val="top"/>
          </w:tcPr>
          <w:p w:rsidR="2BA4C522" w:rsidP="1F8DA18A" w:rsidRDefault="2BA4C522" w14:paraId="4EA5FE09" w14:textId="4C992920">
            <w:pPr>
              <w:spacing w:before="0" w:beforeAutospacing="off" w:after="0" w:afterAutospacing="off"/>
              <w:rPr>
                <w:rFonts w:ascii="Aptos" w:hAnsi="Aptos" w:eastAsia="Aptos" w:cs="Aptos"/>
                <w:sz w:val="24"/>
                <w:szCs w:val="24"/>
              </w:rPr>
            </w:pPr>
          </w:p>
        </w:tc>
      </w:tr>
      <w:tr w:rsidR="2BA4C522" w:rsidTr="1F8DA18A" w14:paraId="31B86F94">
        <w:trPr>
          <w:trHeight w:val="300"/>
        </w:trPr>
        <w:tc>
          <w:tcPr>
            <w:tcW w:w="3116" w:type="dxa"/>
            <w:tcBorders>
              <w:top w:val="single" w:sz="8"/>
              <w:left w:val="single" w:sz="8"/>
              <w:bottom w:val="single" w:sz="8"/>
              <w:right w:val="single" w:sz="8"/>
            </w:tcBorders>
            <w:tcMar>
              <w:left w:w="108" w:type="dxa"/>
              <w:right w:w="108" w:type="dxa"/>
            </w:tcMar>
            <w:vAlign w:val="top"/>
          </w:tcPr>
          <w:p w:rsidR="2BA4C522" w:rsidP="2BA4C522" w:rsidRDefault="2BA4C522" w14:paraId="3398B799" w14:textId="206038A4">
            <w:pPr>
              <w:spacing w:before="0" w:beforeAutospacing="off" w:after="0" w:afterAutospacing="off"/>
            </w:pPr>
            <w:r w:rsidRPr="2BA4C522" w:rsidR="2BA4C522">
              <w:rPr>
                <w:rFonts w:ascii="Aptos" w:hAnsi="Aptos" w:eastAsia="Aptos" w:cs="Aptos"/>
                <w:sz w:val="24"/>
                <w:szCs w:val="24"/>
              </w:rPr>
              <w:t>Development of communication strategy with key messages for select local partner organisations based on in depth- assessments</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3ACE5B7F" w14:textId="5DEB2FB7">
            <w:pPr>
              <w:spacing w:before="0" w:beforeAutospacing="off" w:after="0" w:afterAutospacing="off"/>
            </w:pPr>
            <w:r w:rsidRPr="2BA4C522" w:rsidR="2BA4C522">
              <w:rPr>
                <w:rFonts w:ascii="Aptos" w:hAnsi="Aptos" w:eastAsia="Aptos" w:cs="Aptos"/>
                <w:sz w:val="24"/>
                <w:szCs w:val="24"/>
              </w:rPr>
              <w:t xml:space="preserve">3 months from start date </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17D138B3" w14:textId="37604CFF">
            <w:pPr>
              <w:spacing w:before="0" w:beforeAutospacing="off" w:after="0" w:afterAutospacing="off"/>
            </w:pPr>
            <w:r w:rsidRPr="1F8DA18A" w:rsidR="6090F68E">
              <w:rPr>
                <w:rFonts w:ascii="Aptos" w:hAnsi="Aptos" w:eastAsia="Aptos" w:cs="Aptos"/>
                <w:sz w:val="24"/>
                <w:szCs w:val="24"/>
              </w:rPr>
              <w:t>50</w:t>
            </w:r>
            <w:r w:rsidRPr="1F8DA18A" w:rsidR="490F4BE1">
              <w:rPr>
                <w:rFonts w:ascii="Aptos" w:hAnsi="Aptos" w:eastAsia="Aptos" w:cs="Aptos"/>
                <w:sz w:val="24"/>
                <w:szCs w:val="24"/>
              </w:rPr>
              <w:t>%</w:t>
            </w:r>
          </w:p>
        </w:tc>
      </w:tr>
      <w:tr w:rsidR="2BA4C522" w:rsidTr="1F8DA18A" w14:paraId="1C81F310">
        <w:trPr>
          <w:trHeight w:val="300"/>
        </w:trPr>
        <w:tc>
          <w:tcPr>
            <w:tcW w:w="3116" w:type="dxa"/>
            <w:tcBorders>
              <w:top w:val="single" w:sz="8"/>
              <w:left w:val="single" w:sz="8"/>
              <w:bottom w:val="single" w:sz="8"/>
              <w:right w:val="single" w:sz="8"/>
            </w:tcBorders>
            <w:tcMar>
              <w:left w:w="108" w:type="dxa"/>
              <w:right w:w="108" w:type="dxa"/>
            </w:tcMar>
            <w:vAlign w:val="top"/>
          </w:tcPr>
          <w:p w:rsidR="2BA4C522" w:rsidP="2BA4C522" w:rsidRDefault="2BA4C522" w14:paraId="47C25ED0" w14:textId="19D4E17C">
            <w:pPr>
              <w:spacing w:before="0" w:beforeAutospacing="off" w:after="0" w:afterAutospacing="off"/>
            </w:pPr>
            <w:r w:rsidRPr="2BA4C522" w:rsidR="2BA4C522">
              <w:rPr>
                <w:rFonts w:ascii="Aptos" w:hAnsi="Aptos" w:eastAsia="Aptos" w:cs="Aptos"/>
                <w:sz w:val="24"/>
                <w:szCs w:val="24"/>
              </w:rPr>
              <w:t>Development of digital communication strategy and design of advocacy campaigns for select partners based on the priorities identified in the communication strategy</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66D4D91B" w14:textId="51727F79">
            <w:pPr>
              <w:spacing w:before="0" w:beforeAutospacing="off" w:after="0" w:afterAutospacing="off"/>
            </w:pPr>
            <w:r w:rsidRPr="2BA4C522" w:rsidR="2BA4C522">
              <w:rPr>
                <w:rFonts w:ascii="Aptos" w:hAnsi="Aptos" w:eastAsia="Aptos" w:cs="Aptos"/>
                <w:sz w:val="24"/>
                <w:szCs w:val="24"/>
              </w:rPr>
              <w:t xml:space="preserve">4 months from start date </w:t>
            </w:r>
          </w:p>
        </w:tc>
        <w:tc>
          <w:tcPr>
            <w:tcW w:w="3117" w:type="dxa"/>
            <w:tcBorders>
              <w:top w:val="single" w:sz="8"/>
              <w:left w:val="single" w:sz="8"/>
              <w:bottom w:val="single" w:sz="8"/>
              <w:right w:val="single" w:sz="8"/>
            </w:tcBorders>
            <w:tcMar>
              <w:left w:w="108" w:type="dxa"/>
              <w:right w:w="108" w:type="dxa"/>
            </w:tcMar>
            <w:vAlign w:val="top"/>
          </w:tcPr>
          <w:p w:rsidR="2BA4C522" w:rsidP="1F8DA18A" w:rsidRDefault="2BA4C522" w14:paraId="6FAA0168" w14:textId="097F73C9">
            <w:pPr>
              <w:spacing w:before="0" w:beforeAutospacing="off" w:after="0" w:afterAutospacing="off"/>
              <w:rPr>
                <w:rFonts w:ascii="Aptos" w:hAnsi="Aptos" w:eastAsia="Aptos" w:cs="Aptos"/>
                <w:sz w:val="24"/>
                <w:szCs w:val="24"/>
              </w:rPr>
            </w:pPr>
          </w:p>
        </w:tc>
      </w:tr>
      <w:tr w:rsidR="2BA4C522" w:rsidTr="1F8DA18A" w14:paraId="507731FA">
        <w:trPr>
          <w:trHeight w:val="300"/>
        </w:trPr>
        <w:tc>
          <w:tcPr>
            <w:tcW w:w="3116" w:type="dxa"/>
            <w:tcBorders>
              <w:top w:val="single" w:sz="8"/>
              <w:left w:val="single" w:sz="8"/>
              <w:bottom w:val="single" w:sz="8"/>
              <w:right w:val="single" w:sz="8"/>
            </w:tcBorders>
            <w:tcMar>
              <w:left w:w="108" w:type="dxa"/>
              <w:right w:w="108" w:type="dxa"/>
            </w:tcMar>
            <w:vAlign w:val="top"/>
          </w:tcPr>
          <w:p w:rsidR="2BA4C522" w:rsidP="2BA4C522" w:rsidRDefault="2BA4C522" w14:paraId="5CB78156" w14:textId="19286753">
            <w:pPr>
              <w:spacing w:before="0" w:beforeAutospacing="off" w:after="0" w:afterAutospacing="off"/>
            </w:pPr>
            <w:r w:rsidRPr="69A4A848" w:rsidR="2BA4C522">
              <w:rPr>
                <w:rFonts w:ascii="Aptos" w:hAnsi="Aptos" w:eastAsia="Aptos" w:cs="Aptos"/>
                <w:sz w:val="24"/>
                <w:szCs w:val="24"/>
              </w:rPr>
              <w:t xml:space="preserve">Submission of </w:t>
            </w:r>
            <w:r w:rsidRPr="69A4A848" w:rsidR="2BA4C522">
              <w:rPr>
                <w:rFonts w:ascii="Aptos" w:hAnsi="Aptos" w:eastAsia="Aptos" w:cs="Aptos"/>
                <w:sz w:val="24"/>
                <w:szCs w:val="24"/>
              </w:rPr>
              <w:t>final version</w:t>
            </w:r>
            <w:r w:rsidRPr="69A4A848" w:rsidR="2BA4C522">
              <w:rPr>
                <w:rFonts w:ascii="Aptos" w:hAnsi="Aptos" w:eastAsia="Aptos" w:cs="Aptos"/>
                <w:sz w:val="24"/>
                <w:szCs w:val="24"/>
              </w:rPr>
              <w:t xml:space="preserve"> of communication strategy for select local partner organizations including the monitoring and evaluation tool</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50389CCF" w14:textId="497BBB80">
            <w:pPr>
              <w:spacing w:before="0" w:beforeAutospacing="off" w:after="0" w:afterAutospacing="off"/>
            </w:pPr>
            <w:r w:rsidRPr="2BA4C522" w:rsidR="2BA4C522">
              <w:rPr>
                <w:rFonts w:ascii="Aptos" w:hAnsi="Aptos" w:eastAsia="Aptos" w:cs="Aptos"/>
                <w:sz w:val="24"/>
                <w:szCs w:val="24"/>
              </w:rPr>
              <w:t xml:space="preserve">5 months from start date </w:t>
            </w:r>
          </w:p>
        </w:tc>
        <w:tc>
          <w:tcPr>
            <w:tcW w:w="3117" w:type="dxa"/>
            <w:tcBorders>
              <w:top w:val="single" w:sz="8"/>
              <w:left w:val="single" w:sz="8"/>
              <w:bottom w:val="single" w:sz="8"/>
              <w:right w:val="single" w:sz="8"/>
            </w:tcBorders>
            <w:tcMar>
              <w:left w:w="108" w:type="dxa"/>
              <w:right w:w="108" w:type="dxa"/>
            </w:tcMar>
            <w:vAlign w:val="top"/>
          </w:tcPr>
          <w:p w:rsidR="2BA4C522" w:rsidP="2BA4C522" w:rsidRDefault="2BA4C522" w14:paraId="4173B8EB" w14:textId="11615C53">
            <w:pPr>
              <w:spacing w:before="0" w:beforeAutospacing="off" w:after="0" w:afterAutospacing="off"/>
            </w:pPr>
            <w:r w:rsidRPr="1F8DA18A" w:rsidR="435D7BF0">
              <w:rPr>
                <w:rFonts w:ascii="Aptos" w:hAnsi="Aptos" w:eastAsia="Aptos" w:cs="Aptos"/>
                <w:sz w:val="24"/>
                <w:szCs w:val="24"/>
              </w:rPr>
              <w:t>50</w:t>
            </w:r>
            <w:r w:rsidRPr="1F8DA18A" w:rsidR="490F4BE1">
              <w:rPr>
                <w:rFonts w:ascii="Aptos" w:hAnsi="Aptos" w:eastAsia="Aptos" w:cs="Aptos"/>
                <w:sz w:val="24"/>
                <w:szCs w:val="24"/>
              </w:rPr>
              <w:t>%</w:t>
            </w:r>
          </w:p>
        </w:tc>
      </w:tr>
    </w:tbl>
    <w:p w:rsidR="2BA4C522" w:rsidP="2BA4C522" w:rsidRDefault="2BA4C522" w14:paraId="728659A8" w14:textId="21A72793">
      <w:pPr>
        <w:pStyle w:val="ListParagraph"/>
        <w:spacing w:line="240" w:lineRule="auto"/>
        <w:ind w:left="360"/>
        <w:rPr>
          <w:rFonts w:ascii="Noto Serif" w:hAnsi="Noto Serif" w:cs="Noto Serif"/>
          <w:lang w:val="en-GB"/>
        </w:rPr>
      </w:pPr>
    </w:p>
    <w:p w:rsidRPr="0083137A" w:rsidR="00EB1787" w:rsidP="0083137A" w:rsidRDefault="005B302A" w14:paraId="74BA8F3E" w14:textId="53624830">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Commitment to Quality Work</w:t>
      </w:r>
    </w:p>
    <w:p w:rsidRPr="00EB1787" w:rsidR="00EB1787" w:rsidP="0083137A" w:rsidRDefault="005B302A" w14:paraId="50F80099" w14:textId="5174249E">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The consultant shall use an </w:t>
      </w:r>
      <w:r w:rsidRPr="00EB1787" w:rsidR="00EB1787">
        <w:rPr>
          <w:rFonts w:ascii="Noto Serif" w:hAnsi="Noto Serif" w:cs="Noto Serif"/>
          <w:kern w:val="0"/>
          <w:lang w:val="en-GB"/>
        </w:rPr>
        <w:t>evidence-based</w:t>
      </w:r>
      <w:r w:rsidRPr="00EB1787">
        <w:rPr>
          <w:rFonts w:ascii="Noto Serif" w:hAnsi="Noto Serif" w:cs="Noto Serif"/>
          <w:kern w:val="0"/>
          <w:lang w:val="en-GB"/>
        </w:rPr>
        <w:t xml:space="preserve"> approach and ensure the highest standards of work and timely deliverables at every stage of this assignment. </w:t>
      </w:r>
    </w:p>
    <w:p w:rsidRPr="00EB1787" w:rsidR="005B302A" w:rsidP="0083137A" w:rsidRDefault="005B302A" w14:paraId="7A7611BF" w14:textId="04B95A8E">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The consultant shall ensure clarity of objectives and process during the consultations, </w:t>
      </w:r>
      <w:r w:rsidR="005C2984">
        <w:rPr>
          <w:rFonts w:ascii="Noto Serif" w:hAnsi="Noto Serif" w:cs="Noto Serif"/>
          <w:kern w:val="0"/>
          <w:lang w:val="en-GB"/>
        </w:rPr>
        <w:t>countercheck all facts and figures cited, ensure that the draft strategic plan's content and format meet the high standard for such documents,</w:t>
      </w:r>
      <w:r w:rsidRPr="00EB1787">
        <w:rPr>
          <w:rFonts w:ascii="Noto Serif" w:hAnsi="Noto Serif" w:cs="Noto Serif"/>
          <w:kern w:val="0"/>
          <w:lang w:val="en-GB"/>
        </w:rPr>
        <w:t xml:space="preserve"> and ensure proper editing and clarity.</w:t>
      </w:r>
    </w:p>
    <w:p w:rsidRPr="0083137A" w:rsidR="005B302A" w:rsidP="0083137A" w:rsidRDefault="005B302A" w14:paraId="5BC5CAA7" w14:textId="3280E90F">
      <w:pPr>
        <w:pStyle w:val="ListParagraph"/>
        <w:numPr>
          <w:ilvl w:val="0"/>
          <w:numId w:val="13"/>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The consultant shall, at the onset of the planning process, identify all stakeholders having a direct and indirect interest in the strategic plan</w:t>
      </w:r>
      <w:r w:rsidR="005C2984">
        <w:rPr>
          <w:rFonts w:ascii="Noto Serif" w:hAnsi="Noto Serif" w:cs="Noto Serif"/>
          <w:kern w:val="0"/>
          <w:lang w:val="en-GB"/>
        </w:rPr>
        <w:t>, listing people, groups,</w:t>
      </w:r>
      <w:r w:rsidRPr="00EB1787">
        <w:rPr>
          <w:rFonts w:ascii="Noto Serif" w:hAnsi="Noto Serif" w:cs="Noto Serif"/>
          <w:kern w:val="0"/>
          <w:lang w:val="en-GB"/>
        </w:rPr>
        <w:t xml:space="preserve"> and institutions that influence the work of </w:t>
      </w:r>
      <w:r w:rsidRPr="00EB1787" w:rsidR="00EB1787">
        <w:rPr>
          <w:rFonts w:ascii="Noto Serif" w:hAnsi="Noto Serif" w:cs="Noto Serif"/>
          <w:kern w:val="0"/>
          <w:lang w:val="en-GB"/>
        </w:rPr>
        <w:t>Partner NGOs</w:t>
      </w:r>
      <w:r w:rsidRPr="00EB1787">
        <w:rPr>
          <w:rFonts w:ascii="Noto Serif" w:hAnsi="Noto Serif" w:cs="Noto Serif"/>
          <w:kern w:val="0"/>
          <w:lang w:val="en-GB"/>
        </w:rPr>
        <w:t>. All stakeholders must be able to make inputs into the strategic plan to promote ownership of the plan.</w:t>
      </w:r>
    </w:p>
    <w:p w:rsidR="00EB1787" w:rsidP="0083137A" w:rsidRDefault="005B302A" w14:paraId="1ECBED78" w14:textId="7C783A8B">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Method</w:t>
      </w:r>
    </w:p>
    <w:p w:rsidRPr="009A1033" w:rsidR="009A1033" w:rsidP="009A1033" w:rsidRDefault="009A1033" w14:paraId="05264399" w14:textId="3D6E7575">
      <w:pPr>
        <w:pStyle w:val="ListParagraph"/>
        <w:numPr>
          <w:ilvl w:val="0"/>
          <w:numId w:val="24"/>
        </w:numPr>
        <w:rPr>
          <w:rFonts w:ascii="Noto Serif" w:hAnsi="Noto Serif" w:cs="Noto Serif"/>
          <w:kern w:val="0"/>
          <w:lang w:val="en-GB"/>
        </w:rPr>
      </w:pPr>
      <w:r>
        <w:rPr>
          <w:rFonts w:ascii="Noto Serif" w:hAnsi="Noto Serif" w:cs="Noto Serif"/>
          <w:kern w:val="0"/>
          <w:lang w:val="en-GB"/>
        </w:rPr>
        <w:t xml:space="preserve">The consultant should demonstrate an understanding of the </w:t>
      </w:r>
      <w:r w:rsidRPr="009A1033">
        <w:rPr>
          <w:rFonts w:ascii="Noto Serif" w:hAnsi="Noto Serif" w:cs="Noto Serif"/>
          <w:kern w:val="0"/>
          <w:lang w:val="en-GB"/>
        </w:rPr>
        <w:t>approach and methodology for developing communication strategies, executing advocacy campaigns, and measuring outcomes.</w:t>
      </w:r>
    </w:p>
    <w:p w:rsidRPr="009A1033" w:rsidR="009A1033" w:rsidP="009A1033" w:rsidRDefault="009A1033" w14:paraId="1CA387F4" w14:textId="106B960A">
      <w:pPr>
        <w:pStyle w:val="ListParagraph"/>
        <w:numPr>
          <w:ilvl w:val="0"/>
          <w:numId w:val="24"/>
        </w:numPr>
        <w:rPr>
          <w:rFonts w:ascii="Noto Serif" w:hAnsi="Noto Serif" w:cs="Noto Serif"/>
          <w:kern w:val="0"/>
          <w:lang w:val="en-GB"/>
        </w:rPr>
      </w:pPr>
      <w:r w:rsidRPr="009A1033">
        <w:rPr>
          <w:rFonts w:ascii="Noto Serif" w:hAnsi="Noto Serif" w:cs="Noto Serif"/>
          <w:kern w:val="0"/>
          <w:lang w:val="en-GB"/>
        </w:rPr>
        <w:t>Ensure their approach aligns with NRC and Partners' organizational goals, values, and preferred communication style.</w:t>
      </w:r>
    </w:p>
    <w:p w:rsidR="781FFB73" w:rsidP="07FAF891" w:rsidRDefault="781FFB73" w14:paraId="758FE77C" w14:textId="7755801C">
      <w:pPr>
        <w:spacing w:beforeAutospacing="1" w:afterAutospacing="1" w:line="300" w:lineRule="atLeast"/>
        <w:rPr>
          <w:rFonts w:ascii="Roboto" w:hAnsi="Roboto" w:eastAsia="Roboto" w:cs="Roboto"/>
          <w:color w:val="000000" w:themeColor="text1"/>
          <w:sz w:val="24"/>
          <w:szCs w:val="24"/>
          <w:lang w:val="en-GB"/>
        </w:rPr>
      </w:pPr>
      <w:r w:rsidRPr="07FAF891">
        <w:rPr>
          <w:rFonts w:ascii="Roboto" w:hAnsi="Roboto" w:eastAsia="Roboto" w:cs="Roboto"/>
          <w:b/>
          <w:bCs/>
          <w:color w:val="000000" w:themeColor="text1"/>
          <w:sz w:val="24"/>
          <w:szCs w:val="24"/>
          <w:u w:val="single"/>
        </w:rPr>
        <w:t>Supervision and Management</w:t>
      </w:r>
    </w:p>
    <w:p w:rsidR="781FFB73" w:rsidP="07FAF891" w:rsidRDefault="781FFB73" w14:paraId="6D2B10F5" w14:textId="3D34A14E">
      <w:pPr>
        <w:spacing w:after="150" w:line="240" w:lineRule="auto"/>
        <w:rPr>
          <w:rFonts w:ascii="Roboto" w:hAnsi="Roboto" w:eastAsia="Roboto" w:cs="Roboto"/>
          <w:color w:val="000000" w:themeColor="text1"/>
          <w:sz w:val="24"/>
          <w:szCs w:val="24"/>
        </w:rPr>
      </w:pPr>
      <w:r w:rsidRPr="07FAF891">
        <w:rPr>
          <w:rFonts w:ascii="Roboto" w:hAnsi="Roboto" w:eastAsia="Roboto" w:cs="Roboto"/>
          <w:color w:val="000000" w:themeColor="text1"/>
          <w:sz w:val="24"/>
          <w:szCs w:val="24"/>
        </w:rPr>
        <w:t>The assignment will be task managed and supervised by the Advocacy and Communication Manager in consultation with Partnerships Team in NRC Moldova</w:t>
      </w:r>
    </w:p>
    <w:p w:rsidRPr="0083137A" w:rsidR="00EB1787" w:rsidP="0083137A" w:rsidRDefault="005B302A" w14:paraId="161A98FC" w14:textId="2CE6AD62">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Qualifications/Competencies/ Experience</w:t>
      </w:r>
    </w:p>
    <w:p w:rsidRPr="00CB3CBE" w:rsidR="005B302A" w:rsidP="0083137A" w:rsidRDefault="00EB1787" w14:paraId="50757829" w14:textId="6152A301">
      <w:p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NRC</w:t>
      </w:r>
      <w:r w:rsidRPr="00CB3CBE" w:rsidR="005B302A">
        <w:rPr>
          <w:rFonts w:ascii="Noto Serif" w:hAnsi="Noto Serif" w:cs="Noto Serif"/>
          <w:kern w:val="0"/>
          <w:lang w:val="en-GB"/>
        </w:rPr>
        <w:t xml:space="preserve"> is seeking for the services of a professional or a consultancy firm to develop a</w:t>
      </w:r>
      <w:r w:rsidR="15A15A36">
        <w:rPr>
          <w:rFonts w:ascii="Noto Serif" w:hAnsi="Noto Serif" w:cs="Noto Serif"/>
          <w:kern w:val="0"/>
          <w:lang w:val="en-GB"/>
        </w:rPr>
        <w:t xml:space="preserve"> strategic advocacy and communication plan for up</w:t>
      </w:r>
      <w:r w:rsidR="00C439CE">
        <w:rPr>
          <w:rFonts w:ascii="Noto Serif" w:hAnsi="Noto Serif" w:cs="Noto Serif"/>
          <w:kern w:val="0"/>
          <w:lang w:val="en-GB"/>
        </w:rPr>
        <w:t xml:space="preserve"> </w:t>
      </w:r>
      <w:r w:rsidR="15A15A36">
        <w:rPr>
          <w:rFonts w:ascii="Noto Serif" w:hAnsi="Noto Serif" w:cs="Noto Serif"/>
          <w:kern w:val="0"/>
          <w:lang w:val="en-GB"/>
        </w:rPr>
        <w:t>to 4 partners</w:t>
      </w:r>
      <w:r w:rsidRPr="00CB3CBE" w:rsidR="005B302A">
        <w:rPr>
          <w:rFonts w:ascii="Noto Serif" w:hAnsi="Noto Serif" w:cs="Noto Serif"/>
          <w:kern w:val="0"/>
          <w:lang w:val="en-GB"/>
        </w:rPr>
        <w:t>. The firm/individual must possess the following:</w:t>
      </w:r>
    </w:p>
    <w:p w:rsidRPr="00CB3CBE" w:rsidR="005B302A" w:rsidP="0083137A" w:rsidRDefault="005B302A" w14:paraId="458F9DC7" w14:textId="084C4DB3">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Relevant work experience in </w:t>
      </w:r>
      <w:r w:rsidR="005C2984">
        <w:rPr>
          <w:rFonts w:ascii="Noto Serif" w:hAnsi="Noto Serif" w:cs="Noto Serif"/>
          <w:kern w:val="0"/>
          <w:lang w:val="en-GB"/>
        </w:rPr>
        <w:t xml:space="preserve">the </w:t>
      </w:r>
      <w:r w:rsidRPr="00CB3CBE">
        <w:rPr>
          <w:rFonts w:ascii="Noto Serif" w:hAnsi="Noto Serif" w:cs="Noto Serif"/>
          <w:kern w:val="0"/>
          <w:lang w:val="en-GB"/>
        </w:rPr>
        <w:t>development</w:t>
      </w:r>
      <w:r w:rsidR="005C2984">
        <w:rPr>
          <w:rFonts w:ascii="Noto Serif" w:hAnsi="Noto Serif" w:cs="Noto Serif"/>
          <w:kern w:val="0"/>
          <w:lang w:val="en-GB"/>
        </w:rPr>
        <w:t xml:space="preserve"> of advocacy and communication strategies.</w:t>
      </w:r>
    </w:p>
    <w:p w:rsidRPr="00CB3CBE" w:rsidR="005B302A" w:rsidP="0083137A" w:rsidRDefault="005B302A" w14:paraId="31A4AFD0" w14:textId="0514DB52">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Excellent and proven analytical skills</w:t>
      </w:r>
      <w:r w:rsidR="00EB1787">
        <w:rPr>
          <w:rFonts w:ascii="Noto Serif" w:hAnsi="Noto Serif" w:cs="Noto Serif"/>
          <w:kern w:val="0"/>
          <w:lang w:val="en-GB"/>
        </w:rPr>
        <w:t>.</w:t>
      </w:r>
    </w:p>
    <w:p w:rsidRPr="00CB3CBE" w:rsidR="005B302A" w:rsidP="0083137A" w:rsidRDefault="005B302A" w14:paraId="22B78056" w14:textId="206C5D32">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Excellent organizational and communication skills, </w:t>
      </w:r>
      <w:r w:rsidR="005C2984">
        <w:rPr>
          <w:rFonts w:ascii="Noto Serif" w:hAnsi="Noto Serif" w:cs="Noto Serif"/>
          <w:kern w:val="0"/>
          <w:lang w:val="en-GB"/>
        </w:rPr>
        <w:t>prioritising and working</w:t>
      </w:r>
      <w:r w:rsidRPr="00CB3CBE">
        <w:rPr>
          <w:rFonts w:ascii="Noto Serif" w:hAnsi="Noto Serif" w:cs="Noto Serif"/>
          <w:kern w:val="0"/>
          <w:lang w:val="en-GB"/>
        </w:rPr>
        <w:t xml:space="preserve"> with minimum supervision</w:t>
      </w:r>
      <w:r w:rsidR="00EB1787">
        <w:rPr>
          <w:rFonts w:ascii="Noto Serif" w:hAnsi="Noto Serif" w:cs="Noto Serif"/>
          <w:kern w:val="0"/>
          <w:lang w:val="en-GB"/>
        </w:rPr>
        <w:t>.</w:t>
      </w:r>
    </w:p>
    <w:p w:rsidRPr="00CB3CBE" w:rsidR="005B302A" w:rsidP="0083137A" w:rsidRDefault="005B302A" w14:paraId="7B512241" w14:textId="08D12393">
      <w:pPr>
        <w:pStyle w:val="ListParagraph"/>
        <w:numPr>
          <w:ilvl w:val="0"/>
          <w:numId w:val="11"/>
        </w:num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Possess knowledge </w:t>
      </w:r>
      <w:r w:rsidR="005C2984">
        <w:rPr>
          <w:rFonts w:ascii="Noto Serif" w:hAnsi="Noto Serif" w:cs="Noto Serif"/>
          <w:kern w:val="0"/>
          <w:lang w:val="en-GB"/>
        </w:rPr>
        <w:t>of the general social, economic and political environment that influences advocacy and communication</w:t>
      </w:r>
      <w:r w:rsidRPr="00CB3CBE">
        <w:rPr>
          <w:rFonts w:ascii="Noto Serif" w:hAnsi="Noto Serif" w:cs="Noto Serif"/>
          <w:kern w:val="0"/>
          <w:lang w:val="en-GB"/>
        </w:rPr>
        <w:t xml:space="preserve"> landscape in </w:t>
      </w:r>
      <w:r w:rsidR="00EB1787">
        <w:rPr>
          <w:rFonts w:ascii="Noto Serif" w:hAnsi="Noto Serif" w:cs="Noto Serif"/>
          <w:kern w:val="0"/>
          <w:lang w:val="en-GB"/>
        </w:rPr>
        <w:t>Moldova.</w:t>
      </w:r>
    </w:p>
    <w:p w:rsidRPr="0083137A" w:rsidR="005B302A" w:rsidP="0083137A" w:rsidRDefault="005C2984" w14:paraId="69DA078F" w14:textId="20B65B9B">
      <w:pPr>
        <w:pStyle w:val="ListParagraph"/>
        <w:numPr>
          <w:ilvl w:val="0"/>
          <w:numId w:val="11"/>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 xml:space="preserve">Experience on developing assessment and advocacy and communication strategies for NGO and INGOs or similar organizations in the past. </w:t>
      </w:r>
    </w:p>
    <w:p w:rsidRPr="0083137A" w:rsidR="00217FB3" w:rsidP="00217FB3" w:rsidRDefault="00217FB3" w14:paraId="023BDA50" w14:textId="77777777">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Duration</w:t>
      </w:r>
    </w:p>
    <w:p w:rsidRPr="0083137A" w:rsidR="00217FB3" w:rsidP="00217FB3" w:rsidRDefault="00217FB3" w14:paraId="4D32DB45" w14:textId="77777777">
      <w:pPr>
        <w:autoSpaceDE w:val="0"/>
        <w:autoSpaceDN w:val="0"/>
        <w:adjustRightInd w:val="0"/>
        <w:spacing w:line="240" w:lineRule="auto"/>
        <w:rPr>
          <w:rFonts w:ascii="Noto Serif" w:hAnsi="Noto Serif" w:cs="Noto Serif"/>
          <w:kern w:val="0"/>
          <w:lang w:val="en-GB"/>
        </w:rPr>
      </w:pPr>
      <w:r w:rsidRPr="00CB3CBE">
        <w:rPr>
          <w:rFonts w:ascii="Noto Serif" w:hAnsi="Noto Serif" w:cs="Noto Serif"/>
          <w:kern w:val="0"/>
          <w:lang w:val="en-GB"/>
        </w:rPr>
        <w:t xml:space="preserve">The consultancy </w:t>
      </w:r>
      <w:r w:rsidRPr="009B3D68">
        <w:rPr>
          <w:rFonts w:ascii="Noto Serif" w:hAnsi="Noto Serif" w:cs="Noto Serif"/>
          <w:kern w:val="0"/>
          <w:lang w:val="en-GB"/>
        </w:rPr>
        <w:t xml:space="preserve">shall be for a period no longer than </w:t>
      </w:r>
      <w:r>
        <w:rPr>
          <w:rFonts w:ascii="Noto Serif" w:hAnsi="Noto Serif" w:cs="Noto Serif"/>
          <w:kern w:val="0"/>
          <w:lang w:val="en-GB"/>
        </w:rPr>
        <w:t>six</w:t>
      </w:r>
      <w:r w:rsidRPr="009B3D68">
        <w:rPr>
          <w:rFonts w:ascii="Noto Serif" w:hAnsi="Noto Serif" w:cs="Noto Serif"/>
          <w:kern w:val="0"/>
          <w:lang w:val="en-GB"/>
        </w:rPr>
        <w:t xml:space="preserve"> months, beginning on 1</w:t>
      </w:r>
      <w:r w:rsidRPr="009B3D68">
        <w:rPr>
          <w:rFonts w:ascii="Noto Serif" w:hAnsi="Noto Serif" w:cs="Noto Serif"/>
          <w:kern w:val="0"/>
          <w:vertAlign w:val="superscript"/>
          <w:lang w:val="en-GB"/>
        </w:rPr>
        <w:t>st</w:t>
      </w:r>
      <w:r w:rsidRPr="009B3D68">
        <w:rPr>
          <w:rFonts w:ascii="Noto Serif" w:hAnsi="Noto Serif" w:cs="Noto Serif"/>
          <w:kern w:val="0"/>
          <w:lang w:val="en-GB"/>
        </w:rPr>
        <w:t xml:space="preserve"> of August 2024.</w:t>
      </w:r>
    </w:p>
    <w:p w:rsidRPr="0083137A" w:rsidR="00217FB3" w:rsidP="00217FB3" w:rsidRDefault="00217FB3" w14:paraId="3312C65A" w14:textId="77777777">
      <w:pPr>
        <w:autoSpaceDE w:val="0"/>
        <w:autoSpaceDN w:val="0"/>
        <w:adjustRightInd w:val="0"/>
        <w:spacing w:line="240" w:lineRule="auto"/>
        <w:rPr>
          <w:rFonts w:ascii="Roboto" w:hAnsi="Roboto" w:cs="Noto Serif"/>
          <w:b/>
          <w:bCs/>
          <w:kern w:val="0"/>
          <w:sz w:val="24"/>
          <w:szCs w:val="24"/>
          <w:u w:val="single"/>
          <w:lang w:val="en-GB"/>
        </w:rPr>
      </w:pPr>
      <w:r w:rsidRPr="0083137A">
        <w:rPr>
          <w:rFonts w:ascii="Roboto" w:hAnsi="Roboto" w:cs="Noto Serif"/>
          <w:b/>
          <w:bCs/>
          <w:kern w:val="0"/>
          <w:sz w:val="24"/>
          <w:szCs w:val="24"/>
          <w:u w:val="single"/>
          <w:lang w:val="en-GB"/>
        </w:rPr>
        <w:t>Application materials:</w:t>
      </w:r>
    </w:p>
    <w:p w:rsidRPr="00EB1787" w:rsidR="00217FB3" w:rsidP="00217FB3" w:rsidRDefault="00217FB3" w14:paraId="725044D5" w14:textId="77777777">
      <w:pPr>
        <w:pStyle w:val="ListParagraph"/>
        <w:numPr>
          <w:ilvl w:val="0"/>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Interested parties should submit a concise proposal for how the work will be carried out.</w:t>
      </w:r>
    </w:p>
    <w:p w:rsidRPr="00EB1787" w:rsidR="00217FB3" w:rsidP="00217FB3" w:rsidRDefault="00217FB3" w14:paraId="0C6D8CED" w14:textId="77777777">
      <w:pPr>
        <w:pStyle w:val="ListParagraph"/>
        <w:numPr>
          <w:ilvl w:val="0"/>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Interested applicants are encouraged to submit their bids alongside detailed proposals, indicating their work schedule from the commencement to the end of the consultancy. Included should be:</w:t>
      </w:r>
    </w:p>
    <w:p w:rsidR="00217FB3" w:rsidP="00217FB3" w:rsidRDefault="00217FB3" w14:paraId="61C42927"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Technical approach and suggested timeline (maximum 5 pages)</w:t>
      </w:r>
    </w:p>
    <w:p w:rsidR="00217FB3" w:rsidP="00217FB3" w:rsidRDefault="00217FB3" w14:paraId="3D6B9AD4"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Products of</w:t>
      </w:r>
      <w:r w:rsidRPr="00EB1787">
        <w:rPr>
          <w:rFonts w:ascii="Noto Serif" w:hAnsi="Noto Serif" w:cs="Noto Serif"/>
          <w:kern w:val="0"/>
          <w:lang w:val="en-GB"/>
        </w:rPr>
        <w:t xml:space="preserve"> previous experience </w:t>
      </w:r>
      <w:r>
        <w:rPr>
          <w:rFonts w:ascii="Noto Serif" w:hAnsi="Noto Serif" w:cs="Noto Serif"/>
          <w:kern w:val="0"/>
          <w:lang w:val="en-GB"/>
        </w:rPr>
        <w:t>in</w:t>
      </w:r>
      <w:r w:rsidRPr="00EB1787">
        <w:rPr>
          <w:rFonts w:ascii="Noto Serif" w:hAnsi="Noto Serif" w:cs="Noto Serif"/>
          <w:kern w:val="0"/>
          <w:lang w:val="en-GB"/>
        </w:rPr>
        <w:t xml:space="preserve"> strategic development planning</w:t>
      </w:r>
      <w:r>
        <w:rPr>
          <w:rFonts w:ascii="Noto Serif" w:hAnsi="Noto Serif" w:cs="Noto Serif"/>
          <w:kern w:val="0"/>
          <w:lang w:val="en-GB"/>
        </w:rPr>
        <w:t>.</w:t>
      </w:r>
    </w:p>
    <w:p w:rsidR="00217FB3" w:rsidP="00217FB3" w:rsidRDefault="00217FB3" w14:paraId="641F92CD"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Budget for work to be undertaken (submitted in a single Excel worksheet and broken down into</w:t>
      </w:r>
      <w:r>
        <w:rPr>
          <w:rFonts w:ascii="Noto Serif" w:hAnsi="Noto Serif" w:cs="Noto Serif"/>
          <w:kern w:val="0"/>
          <w:lang w:val="en-GB"/>
        </w:rPr>
        <w:t xml:space="preserve"> </w:t>
      </w:r>
      <w:r w:rsidRPr="00EB1787">
        <w:rPr>
          <w:rFonts w:ascii="Noto Serif" w:hAnsi="Noto Serif" w:cs="Noto Serif"/>
          <w:kern w:val="0"/>
          <w:lang w:val="en-GB"/>
        </w:rPr>
        <w:t>personnel, fees, travel and other)</w:t>
      </w:r>
      <w:r>
        <w:rPr>
          <w:rFonts w:ascii="Noto Serif" w:hAnsi="Noto Serif" w:cs="Noto Serif"/>
          <w:kern w:val="0"/>
          <w:lang w:val="en-GB"/>
        </w:rPr>
        <w:t xml:space="preserve">. </w:t>
      </w:r>
    </w:p>
    <w:p w:rsidR="00217FB3" w:rsidP="00217FB3" w:rsidRDefault="00217FB3" w14:paraId="2A4FAFDF"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Pr>
          <w:rFonts w:ascii="Noto Serif" w:hAnsi="Noto Serif" w:cs="Noto Serif"/>
          <w:kern w:val="0"/>
          <w:lang w:val="en-GB"/>
        </w:rPr>
        <w:t xml:space="preserve">All costs must be submitted as gross amounts and include relevant taxation breakdowns. </w:t>
      </w:r>
    </w:p>
    <w:p w:rsidR="00217FB3" w:rsidP="00217FB3" w:rsidRDefault="00217FB3" w14:paraId="4E1AB8FB"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 xml:space="preserve">Any restrictions on consultant availability to begin work on </w:t>
      </w:r>
      <w:r>
        <w:rPr>
          <w:rFonts w:ascii="Noto Serif" w:hAnsi="Noto Serif" w:cs="Noto Serif"/>
          <w:kern w:val="0"/>
          <w:lang w:val="en-GB"/>
        </w:rPr>
        <w:t>the 1</w:t>
      </w:r>
      <w:r w:rsidRPr="00BC2168">
        <w:rPr>
          <w:rFonts w:ascii="Noto Serif" w:hAnsi="Noto Serif" w:cs="Noto Serif"/>
          <w:kern w:val="0"/>
          <w:vertAlign w:val="superscript"/>
          <w:lang w:val="en-GB"/>
        </w:rPr>
        <w:t>st</w:t>
      </w:r>
      <w:r>
        <w:rPr>
          <w:rFonts w:ascii="Noto Serif" w:hAnsi="Noto Serif" w:cs="Noto Serif"/>
          <w:kern w:val="0"/>
          <w:lang w:val="en-GB"/>
        </w:rPr>
        <w:t xml:space="preserve"> of August 2024.</w:t>
      </w:r>
    </w:p>
    <w:p w:rsidRPr="0083137A" w:rsidR="00217FB3" w:rsidP="00217FB3" w:rsidRDefault="00217FB3" w14:paraId="72374D26" w14:textId="77777777">
      <w:pPr>
        <w:pStyle w:val="ListParagraph"/>
        <w:numPr>
          <w:ilvl w:val="1"/>
          <w:numId w:val="14"/>
        </w:numPr>
        <w:autoSpaceDE w:val="0"/>
        <w:autoSpaceDN w:val="0"/>
        <w:adjustRightInd w:val="0"/>
        <w:spacing w:line="240" w:lineRule="auto"/>
        <w:rPr>
          <w:rFonts w:ascii="Noto Serif" w:hAnsi="Noto Serif" w:cs="Noto Serif"/>
          <w:kern w:val="0"/>
          <w:lang w:val="en-GB"/>
        </w:rPr>
      </w:pPr>
      <w:r w:rsidRPr="00EB1787">
        <w:rPr>
          <w:rFonts w:ascii="Noto Serif" w:hAnsi="Noto Serif" w:cs="Noto Serif"/>
          <w:kern w:val="0"/>
          <w:lang w:val="en-GB"/>
        </w:rPr>
        <w:t>Any restrictions on consultant availability to</w:t>
      </w:r>
      <w:r>
        <w:rPr>
          <w:rFonts w:ascii="Noto Serif" w:hAnsi="Noto Serif" w:cs="Noto Serif"/>
          <w:kern w:val="0"/>
          <w:lang w:val="en-GB"/>
        </w:rPr>
        <w:t xml:space="preserve"> work/</w:t>
      </w:r>
      <w:r w:rsidRPr="00EB1787">
        <w:rPr>
          <w:rFonts w:ascii="Noto Serif" w:hAnsi="Noto Serif" w:cs="Noto Serif"/>
          <w:kern w:val="0"/>
          <w:lang w:val="en-GB"/>
        </w:rPr>
        <w:t>travel during the contract</w:t>
      </w:r>
      <w:r>
        <w:rPr>
          <w:rFonts w:ascii="Noto Serif" w:hAnsi="Noto Serif" w:cs="Noto Serif"/>
          <w:kern w:val="0"/>
          <w:lang w:val="en-GB"/>
        </w:rPr>
        <w:t>.</w:t>
      </w:r>
    </w:p>
    <w:p w:rsidR="00265F5B" w:rsidP="00531686" w:rsidRDefault="00265F5B" w14:paraId="5D7ACFB2" w14:textId="77777777">
      <w:pPr>
        <w:autoSpaceDE w:val="0"/>
        <w:autoSpaceDN w:val="0"/>
        <w:adjustRightInd w:val="0"/>
        <w:spacing w:line="240" w:lineRule="auto"/>
        <w:rPr>
          <w:rFonts w:ascii="Roboto" w:hAnsi="Roboto" w:cs="Noto Serif"/>
          <w:b/>
          <w:bCs/>
          <w:kern w:val="0"/>
          <w:sz w:val="24"/>
          <w:szCs w:val="24"/>
          <w:u w:val="single"/>
          <w:lang w:val="en-GB"/>
        </w:rPr>
      </w:pPr>
    </w:p>
    <w:p w:rsidRPr="00D9018B" w:rsidR="0017309D" w:rsidP="0017309D" w:rsidRDefault="0017309D" w14:paraId="37998EEF" w14:textId="77777777">
      <w:pPr>
        <w:pStyle w:val="Heading5"/>
        <w:rPr>
          <w:rFonts w:ascii="Roboto" w:hAnsi="Roboto"/>
          <w:color w:val="F95F09"/>
          <w:sz w:val="36"/>
          <w:szCs w:val="36"/>
          <w:shd w:val="clear" w:color="auto" w:fill="FFFFFF"/>
        </w:rPr>
      </w:pPr>
      <w:r w:rsidRPr="00B22CE7">
        <w:rPr>
          <w:rStyle w:val="normaltextrun"/>
          <w:rFonts w:ascii="Roboto" w:hAnsi="Roboto"/>
          <w:color w:val="F95F09"/>
          <w:sz w:val="36"/>
          <w:szCs w:val="36"/>
          <w:shd w:val="clear" w:color="auto" w:fill="FFFFFF"/>
        </w:rPr>
        <w:t xml:space="preserve">Annex </w:t>
      </w:r>
      <w:r>
        <w:rPr>
          <w:rStyle w:val="normaltextrun"/>
          <w:rFonts w:ascii="Roboto" w:hAnsi="Roboto"/>
          <w:color w:val="F95F09"/>
          <w:sz w:val="36"/>
          <w:szCs w:val="36"/>
          <w:shd w:val="clear" w:color="auto" w:fill="FFFFFF"/>
        </w:rPr>
        <w:t>2</w:t>
      </w:r>
      <w:r w:rsidRPr="00B22CE7">
        <w:rPr>
          <w:rStyle w:val="normaltextrun"/>
          <w:rFonts w:ascii="Roboto" w:hAnsi="Roboto"/>
          <w:color w:val="F95F09"/>
          <w:sz w:val="36"/>
          <w:szCs w:val="36"/>
          <w:shd w:val="clear" w:color="auto" w:fill="FFFFFF"/>
        </w:rPr>
        <w:t xml:space="preserve"> – Payment terms  </w:t>
      </w:r>
    </w:p>
    <w:p w:rsidRPr="00B22CE7" w:rsidR="0017309D" w:rsidP="0017309D" w:rsidRDefault="0017309D" w14:paraId="29269195" w14:textId="77777777">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All prices and the detailed terms governing the consideration to be paid by NRC for the deliverables provided by the Consultant shall be set out here. If the parties agree on anything that is not stipulated in the main Agreement, then this shall be specified in this Appendix. </w:t>
      </w:r>
    </w:p>
    <w:p w:rsidRPr="00B22CE7" w:rsidR="0017309D" w:rsidP="0017309D" w:rsidRDefault="0017309D" w14:paraId="47ABCE9B" w14:textId="77777777">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 xml:space="preserve">NRC will cover only the bank fees charged by its bank. But any other fees such as the intermediary bank fees and the recipient bank fees, if any, should be covered by the consultant. </w:t>
      </w:r>
    </w:p>
    <w:p w:rsidRPr="00B22CE7" w:rsidR="0017309D" w:rsidP="0017309D" w:rsidRDefault="0017309D" w14:paraId="2521E31B" w14:textId="77777777">
      <w:pPr>
        <w:autoSpaceDE w:val="0"/>
        <w:autoSpaceDN w:val="0"/>
        <w:adjustRightInd w:val="0"/>
        <w:spacing w:line="240" w:lineRule="auto"/>
        <w:rPr>
          <w:rFonts w:ascii="Roboto" w:hAnsi="Roboto" w:cs="Noto Serif"/>
          <w:b/>
          <w:bCs/>
          <w:kern w:val="0"/>
          <w:sz w:val="24"/>
          <w:szCs w:val="24"/>
          <w:u w:val="single"/>
          <w:lang w:val="en-GB"/>
        </w:rPr>
      </w:pPr>
      <w:r w:rsidRPr="00B22CE7">
        <w:rPr>
          <w:rFonts w:ascii="Roboto" w:hAnsi="Roboto" w:cs="Noto Serif"/>
          <w:b/>
          <w:bCs/>
          <w:kern w:val="0"/>
          <w:sz w:val="24"/>
          <w:szCs w:val="24"/>
          <w:u w:val="single"/>
          <w:lang w:val="en-GB"/>
        </w:rPr>
        <w:t>Invoicing </w:t>
      </w:r>
    </w:p>
    <w:p w:rsidRPr="00B22CE7" w:rsidR="0017309D" w:rsidP="0017309D" w:rsidRDefault="0017309D" w14:paraId="201251A3" w14:textId="77777777">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The consultant shall be paid as specified in paragraph 4 of the Consultancy Contract. Upon satisfactory submission and approval of performance-progress and Completion Certificate, signed by the responsible person, the consultant may submit invoice for consultancy fee. </w:t>
      </w:r>
    </w:p>
    <w:p w:rsidRPr="00825996" w:rsidR="0017309D" w:rsidP="0017309D" w:rsidRDefault="0017309D" w14:paraId="79D290FC" w14:textId="77777777">
      <w:pPr>
        <w:autoSpaceDE w:val="0"/>
        <w:autoSpaceDN w:val="0"/>
        <w:adjustRightInd w:val="0"/>
        <w:spacing w:line="240" w:lineRule="auto"/>
        <w:rPr>
          <w:rFonts w:ascii="Noto Serif" w:hAnsi="Noto Serif" w:cs="Noto Serif"/>
          <w:kern w:val="0"/>
          <w:lang w:val="en-GB"/>
        </w:rPr>
      </w:pPr>
      <w:r w:rsidRPr="00B22CE7">
        <w:rPr>
          <w:rFonts w:ascii="Noto Serif" w:hAnsi="Noto Serif" w:cs="Noto Serif"/>
          <w:kern w:val="0"/>
          <w:lang w:val="en-GB"/>
        </w:rPr>
        <w:t>After all supportive documents are submitted, the payment shall be made within thirty (30) calendar days of the date the invoice is approved by NRC. </w:t>
      </w:r>
    </w:p>
    <w:p w:rsidRPr="00825996" w:rsidR="0017309D" w:rsidP="0017309D" w:rsidRDefault="0017309D" w14:paraId="1E110B49" w14:textId="77777777">
      <w:pPr>
        <w:autoSpaceDE w:val="0"/>
        <w:autoSpaceDN w:val="0"/>
        <w:adjustRightInd w:val="0"/>
        <w:spacing w:line="240" w:lineRule="auto"/>
        <w:rPr>
          <w:rFonts w:ascii="Roboto" w:hAnsi="Roboto" w:cs="Noto Serif"/>
          <w:b/>
          <w:bCs/>
          <w:kern w:val="0"/>
          <w:sz w:val="24"/>
          <w:szCs w:val="24"/>
          <w:u w:val="single"/>
          <w:lang w:val="en-GB"/>
        </w:rPr>
      </w:pPr>
      <w:r w:rsidRPr="00B22CE7">
        <w:rPr>
          <w:rFonts w:ascii="Roboto" w:hAnsi="Roboto" w:cs="Noto Serif"/>
          <w:b/>
          <w:bCs/>
          <w:kern w:val="0"/>
          <w:sz w:val="24"/>
          <w:szCs w:val="24"/>
          <w:u w:val="single"/>
          <w:lang w:val="en-GB"/>
        </w:rPr>
        <w:t>Invoices shall be marked: </w:t>
      </w:r>
    </w:p>
    <w:p w:rsidRPr="00825996" w:rsidR="0017309D" w:rsidP="0017309D" w:rsidRDefault="0017309D" w14:paraId="0EEAAD30" w14:textId="77777777">
      <w:pPr>
        <w:spacing w:after="0" w:line="240" w:lineRule="auto"/>
        <w:jc w:val="both"/>
        <w:textAlignment w:val="baseline"/>
        <w:rPr>
          <w:rFonts w:ascii="Noto Serif" w:hAnsi="Noto Serif" w:cs="Noto Serif"/>
          <w:b/>
          <w:bCs/>
          <w:kern w:val="0"/>
          <w:lang w:val="en-GB"/>
        </w:rPr>
      </w:pPr>
      <w:r w:rsidRPr="00825996">
        <w:rPr>
          <w:rFonts w:ascii="Noto Serif" w:hAnsi="Noto Serif" w:cs="Noto Serif"/>
          <w:kern w:val="0"/>
          <w:lang w:val="en-GB"/>
        </w:rPr>
        <w:t>The invoice to be addressed to:</w:t>
      </w:r>
      <w:r w:rsidRPr="00825996">
        <w:rPr>
          <w:rFonts w:ascii="Noto Serif" w:hAnsi="Noto Serif" w:cs="Noto Serif"/>
          <w:b/>
          <w:bCs/>
          <w:kern w:val="0"/>
          <w:lang w:val="en-GB"/>
        </w:rPr>
        <w:t xml:space="preserve"> Norwegian Refugee Council </w:t>
      </w:r>
    </w:p>
    <w:p w:rsidR="0017309D" w:rsidP="0017309D" w:rsidRDefault="0017309D" w14:paraId="5C02D0B8" w14:textId="77777777">
      <w:pPr>
        <w:spacing w:after="0" w:line="240" w:lineRule="auto"/>
        <w:jc w:val="both"/>
        <w:textAlignment w:val="baseline"/>
        <w:rPr>
          <w:rFonts w:ascii="Franklin Gothic Book" w:hAnsi="Franklin Gothic Book" w:eastAsia="Times New Roman" w:cs="Times New Roman"/>
          <w:szCs w:val="20"/>
        </w:rPr>
      </w:pPr>
    </w:p>
    <w:p w:rsidRPr="00825996" w:rsidR="0017309D" w:rsidP="0017309D" w:rsidRDefault="0017309D" w14:paraId="730E0B37" w14:textId="77777777">
      <w:pPr>
        <w:spacing w:after="0" w:line="240" w:lineRule="auto"/>
        <w:jc w:val="both"/>
        <w:textAlignment w:val="baseline"/>
        <w:rPr>
          <w:rFonts w:ascii="Noto Serif" w:hAnsi="Noto Serif" w:cs="Noto Serif"/>
          <w:kern w:val="0"/>
          <w:lang w:val="en-GB"/>
        </w:rPr>
      </w:pPr>
      <w:r w:rsidRPr="00825996">
        <w:rPr>
          <w:rFonts w:ascii="Noto Serif" w:hAnsi="Noto Serif" w:cs="Noto Serif"/>
          <w:kern w:val="0"/>
          <w:lang w:val="en-GB"/>
        </w:rPr>
        <w:t>Invoices shall include the following details: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96"/>
        <w:gridCol w:w="5048"/>
      </w:tblGrid>
      <w:tr w:rsidRPr="00825996" w:rsidR="0017309D" w:rsidTr="000B3460" w14:paraId="20E87029" w14:textId="77777777">
        <w:trPr>
          <w:trHeight w:val="1290"/>
        </w:trPr>
        <w:tc>
          <w:tcPr>
            <w:tcW w:w="4755" w:type="dxa"/>
            <w:tcBorders>
              <w:top w:val="single" w:color="auto" w:sz="6" w:space="0"/>
              <w:left w:val="single" w:color="auto" w:sz="6" w:space="0"/>
              <w:bottom w:val="single" w:color="auto" w:sz="6" w:space="0"/>
              <w:right w:val="single" w:color="auto" w:sz="6" w:space="0"/>
            </w:tcBorders>
            <w:shd w:val="clear" w:color="auto" w:fill="auto"/>
            <w:hideMark/>
          </w:tcPr>
          <w:p w:rsidRPr="00825996" w:rsidR="0017309D" w:rsidP="0017309D" w:rsidRDefault="0017309D" w14:paraId="7CD13E27"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Consultant name and address </w:t>
            </w:r>
          </w:p>
          <w:p w:rsidRPr="00825996" w:rsidR="0017309D" w:rsidP="0017309D" w:rsidRDefault="0017309D" w14:paraId="024A6412"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Invoice number  </w:t>
            </w:r>
          </w:p>
          <w:p w:rsidRPr="00825996" w:rsidR="0017309D" w:rsidP="0017309D" w:rsidRDefault="0017309D" w14:paraId="7AEDAA6D"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Date of issue  </w:t>
            </w:r>
          </w:p>
          <w:p w:rsidRPr="00825996" w:rsidR="0017309D" w:rsidP="0017309D" w:rsidRDefault="0017309D" w14:paraId="0AB01808"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Precise description of the goods/service delivered  </w:t>
            </w:r>
          </w:p>
          <w:p w:rsidRPr="00825996" w:rsidR="0017309D" w:rsidP="0017309D" w:rsidRDefault="0017309D" w14:paraId="20969BD6"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The amount and the currency  </w:t>
            </w:r>
          </w:p>
        </w:tc>
        <w:tc>
          <w:tcPr>
            <w:tcW w:w="5670" w:type="dxa"/>
            <w:tcBorders>
              <w:top w:val="single" w:color="auto" w:sz="6" w:space="0"/>
              <w:left w:val="single" w:color="auto" w:sz="6" w:space="0"/>
              <w:bottom w:val="single" w:color="auto" w:sz="6" w:space="0"/>
              <w:right w:val="single" w:color="auto" w:sz="6" w:space="0"/>
            </w:tcBorders>
            <w:shd w:val="clear" w:color="auto" w:fill="auto"/>
            <w:hideMark/>
          </w:tcPr>
          <w:p w:rsidRPr="00825996" w:rsidR="0017309D" w:rsidP="0017309D" w:rsidRDefault="0017309D" w14:paraId="4CE52BAC"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Bank Details </w:t>
            </w:r>
          </w:p>
          <w:p w:rsidRPr="00825996" w:rsidR="0017309D" w:rsidP="0017309D" w:rsidRDefault="0017309D" w14:paraId="0EC9318A"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If payment is based on daily rates: invoice to be accompanied with a timesheet completed and signed by the consultant and verified (signed) by the hiring manager </w:t>
            </w:r>
          </w:p>
          <w:p w:rsidRPr="00825996" w:rsidR="0017309D" w:rsidP="0017309D" w:rsidRDefault="0017309D" w14:paraId="577E3C9E" w14:textId="77777777">
            <w:pPr>
              <w:numPr>
                <w:ilvl w:val="0"/>
                <w:numId w:val="25"/>
              </w:numPr>
              <w:spacing w:after="0" w:line="240" w:lineRule="auto"/>
              <w:ind w:hanging="445"/>
              <w:jc w:val="both"/>
              <w:textAlignment w:val="baseline"/>
              <w:rPr>
                <w:rFonts w:ascii="Noto Serif" w:hAnsi="Noto Serif" w:cs="Noto Serif"/>
                <w:kern w:val="0"/>
                <w:lang w:val="en-GB"/>
              </w:rPr>
            </w:pPr>
            <w:r w:rsidRPr="00825996">
              <w:rPr>
                <w:rFonts w:ascii="Noto Serif" w:hAnsi="Noto Serif" w:cs="Noto Serif"/>
                <w:kern w:val="0"/>
                <w:lang w:val="en-GB"/>
              </w:rPr>
              <w:t>Contract Reference number. </w:t>
            </w:r>
          </w:p>
        </w:tc>
      </w:tr>
    </w:tbl>
    <w:p w:rsidR="0017309D" w:rsidP="0017309D" w:rsidRDefault="0017309D" w14:paraId="1023AAEA" w14:textId="77777777">
      <w:pPr>
        <w:autoSpaceDE w:val="0"/>
        <w:autoSpaceDN w:val="0"/>
        <w:adjustRightInd w:val="0"/>
        <w:spacing w:line="240" w:lineRule="auto"/>
        <w:rPr>
          <w:rFonts w:ascii="Roboto" w:hAnsi="Roboto" w:cs="Noto Serif"/>
          <w:b/>
          <w:bCs/>
          <w:kern w:val="0"/>
          <w:sz w:val="24"/>
          <w:szCs w:val="24"/>
          <w:u w:val="single"/>
          <w:lang w:val="en-GB"/>
        </w:rPr>
      </w:pPr>
    </w:p>
    <w:p w:rsidRPr="00825996" w:rsidR="0017309D" w:rsidP="0017309D" w:rsidRDefault="0017309D" w14:paraId="43609A90" w14:textId="77777777">
      <w:pPr>
        <w:autoSpaceDE w:val="0"/>
        <w:autoSpaceDN w:val="0"/>
        <w:adjustRightInd w:val="0"/>
        <w:spacing w:line="240" w:lineRule="auto"/>
        <w:rPr>
          <w:rFonts w:ascii="Roboto" w:hAnsi="Roboto" w:cs="Noto Serif"/>
          <w:b/>
          <w:bCs/>
          <w:kern w:val="0"/>
          <w:sz w:val="24"/>
          <w:szCs w:val="24"/>
          <w:u w:val="single"/>
          <w:lang w:val="en-GB"/>
        </w:rPr>
      </w:pPr>
      <w:r w:rsidRPr="00825996">
        <w:rPr>
          <w:rFonts w:ascii="Roboto" w:hAnsi="Roboto" w:cs="Noto Serif"/>
          <w:b/>
          <w:bCs/>
          <w:kern w:val="0"/>
          <w:sz w:val="24"/>
          <w:szCs w:val="24"/>
          <w:u w:val="single"/>
          <w:lang w:val="en-GB"/>
        </w:rPr>
        <w:t>Taxation</w:t>
      </w:r>
    </w:p>
    <w:p w:rsidRPr="00D9018B" w:rsidR="0017309D" w:rsidP="0017309D" w:rsidRDefault="0017309D" w14:paraId="6C16720F" w14:textId="77777777">
      <w:pPr>
        <w:jc w:val="both"/>
        <w:rPr>
          <w:rFonts w:ascii="Noto Serif" w:hAnsi="Noto Serif" w:cs="Noto Serif"/>
          <w:kern w:val="0"/>
          <w:lang w:val="en-GB"/>
        </w:rPr>
      </w:pPr>
      <w:r w:rsidRPr="00825996">
        <w:rPr>
          <w:rFonts w:ascii="Noto Serif" w:hAnsi="Noto Serif" w:cs="Noto Serif"/>
          <w:kern w:val="0"/>
          <w:lang w:val="en-GB"/>
        </w:rPr>
        <w:t xml:space="preserve">Income tax of 12% shall be deductible from all payments as per the corresponding laws and legal provisions. However, for the avoidance of the double taxation, provided the country of residence of the Consultant has a signed Agreement for the avoidance of double taxation, as well as provided the Consultant submits the Tax Residence certificate (in case the Contract is signed with an individual) or Company Registration Certificate (in case the Contract is signed with the Company), the tax will not be deducted in Moldova, but shall paid by the Consultant in its Country of residence. </w:t>
      </w:r>
    </w:p>
    <w:sectPr w:rsidRPr="00D9018B" w:rsidR="0017309D" w:rsidSect="00EA22F2">
      <w:headerReference w:type="default" r:id="rId10"/>
      <w:pgSz w:w="12240" w:h="15840" w:orient="portrait"/>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32F2" w:rsidP="00EA22F2" w:rsidRDefault="001532F2" w14:paraId="7672E5E1" w14:textId="77777777">
      <w:pPr>
        <w:spacing w:after="0" w:line="240" w:lineRule="auto"/>
      </w:pPr>
      <w:r>
        <w:separator/>
      </w:r>
    </w:p>
  </w:endnote>
  <w:endnote w:type="continuationSeparator" w:id="0">
    <w:p w:rsidR="001532F2" w:rsidP="00EA22F2" w:rsidRDefault="001532F2" w14:paraId="150DE0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Noto Serif">
    <w:panose1 w:val="02020600060500020200"/>
    <w:charset w:val="00"/>
    <w:family w:val="roman"/>
    <w:pitch w:val="variable"/>
    <w:sig w:usb0="E00002FF" w:usb1="500078FF" w:usb2="00000029"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32F2" w:rsidP="00EA22F2" w:rsidRDefault="001532F2" w14:paraId="187B75B9" w14:textId="77777777">
      <w:pPr>
        <w:spacing w:after="0" w:line="240" w:lineRule="auto"/>
      </w:pPr>
      <w:r>
        <w:separator/>
      </w:r>
    </w:p>
  </w:footnote>
  <w:footnote w:type="continuationSeparator" w:id="0">
    <w:p w:rsidR="001532F2" w:rsidP="00EA22F2" w:rsidRDefault="001532F2" w14:paraId="267DF2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A22F2" w:rsidRDefault="00EA22F2" w14:paraId="51936329" w14:textId="5568410C">
    <w:pPr>
      <w:pStyle w:val="Header"/>
    </w:pPr>
    <w:r>
      <w:rPr>
        <w:noProof/>
      </w:rPr>
      <w:drawing>
        <wp:anchor distT="0" distB="0" distL="114300" distR="114300" simplePos="0" relativeHeight="251659264" behindDoc="0" locked="0" layoutInCell="1" allowOverlap="1" wp14:anchorId="1B944F0A" wp14:editId="23A8F8C5">
          <wp:simplePos x="0" y="0"/>
          <wp:positionH relativeFrom="margin">
            <wp:posOffset>0</wp:posOffset>
          </wp:positionH>
          <wp:positionV relativeFrom="topMargin">
            <wp:posOffset>628650</wp:posOffset>
          </wp:positionV>
          <wp:extent cx="1849120" cy="463550"/>
          <wp:effectExtent l="0" t="0" r="0" b="0"/>
          <wp:wrapTopAndBottom/>
          <wp:docPr id="791230572" name="Bild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9120" cy="463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0FEB"/>
    <w:multiLevelType w:val="multilevel"/>
    <w:tmpl w:val="99DACE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74EDB"/>
    <w:multiLevelType w:val="hybridMultilevel"/>
    <w:tmpl w:val="2D1E50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FF2F66"/>
    <w:multiLevelType w:val="hybridMultilevel"/>
    <w:tmpl w:val="3E84ADAC"/>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7D47"/>
    <w:multiLevelType w:val="hybridMultilevel"/>
    <w:tmpl w:val="31E6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E0C64"/>
    <w:multiLevelType w:val="hybridMultilevel"/>
    <w:tmpl w:val="DD0801CC"/>
    <w:lvl w:ilvl="0" w:tplc="67BAD9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4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536B9"/>
    <w:multiLevelType w:val="hybridMultilevel"/>
    <w:tmpl w:val="49EE85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451499"/>
    <w:multiLevelType w:val="hybridMultilevel"/>
    <w:tmpl w:val="DADE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31581"/>
    <w:multiLevelType w:val="hybridMultilevel"/>
    <w:tmpl w:val="78B659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5F31A6"/>
    <w:multiLevelType w:val="hybridMultilevel"/>
    <w:tmpl w:val="EDE6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A4AC5"/>
    <w:multiLevelType w:val="hybridMultilevel"/>
    <w:tmpl w:val="5DA2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B18DF"/>
    <w:multiLevelType w:val="hybridMultilevel"/>
    <w:tmpl w:val="835CF0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6EC34D0"/>
    <w:multiLevelType w:val="hybridMultilevel"/>
    <w:tmpl w:val="B752635E"/>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666C"/>
    <w:multiLevelType w:val="hybridMultilevel"/>
    <w:tmpl w:val="080E6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CB8021A"/>
    <w:multiLevelType w:val="hybridMultilevel"/>
    <w:tmpl w:val="B86214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4DB00BE8"/>
    <w:multiLevelType w:val="hybridMultilevel"/>
    <w:tmpl w:val="57002FB4"/>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1145B3"/>
    <w:multiLevelType w:val="hybridMultilevel"/>
    <w:tmpl w:val="EB76C4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55741B48"/>
    <w:multiLevelType w:val="hybridMultilevel"/>
    <w:tmpl w:val="02EC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05D4F"/>
    <w:multiLevelType w:val="hybridMultilevel"/>
    <w:tmpl w:val="EADEE5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8A7FC7"/>
    <w:multiLevelType w:val="hybridMultilevel"/>
    <w:tmpl w:val="97AA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202B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915240"/>
    <w:multiLevelType w:val="multilevel"/>
    <w:tmpl w:val="3F88AE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5BC0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E4057E"/>
    <w:multiLevelType w:val="hybridMultilevel"/>
    <w:tmpl w:val="C652AA98"/>
    <w:lvl w:ilvl="0" w:tplc="55FC0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93DA5"/>
    <w:multiLevelType w:val="hybridMultilevel"/>
    <w:tmpl w:val="5A8AC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4391085">
    <w:abstractNumId w:val="8"/>
  </w:num>
  <w:num w:numId="2" w16cid:durableId="900405916">
    <w:abstractNumId w:val="16"/>
  </w:num>
  <w:num w:numId="3" w16cid:durableId="1845167340">
    <w:abstractNumId w:val="4"/>
  </w:num>
  <w:num w:numId="4" w16cid:durableId="1457522834">
    <w:abstractNumId w:val="17"/>
  </w:num>
  <w:num w:numId="5" w16cid:durableId="612631960">
    <w:abstractNumId w:val="13"/>
  </w:num>
  <w:num w:numId="6" w16cid:durableId="309749545">
    <w:abstractNumId w:val="14"/>
  </w:num>
  <w:num w:numId="7" w16cid:durableId="63338421">
    <w:abstractNumId w:val="9"/>
  </w:num>
  <w:num w:numId="8" w16cid:durableId="1432820003">
    <w:abstractNumId w:val="2"/>
  </w:num>
  <w:num w:numId="9" w16cid:durableId="806312546">
    <w:abstractNumId w:val="15"/>
  </w:num>
  <w:num w:numId="10" w16cid:durableId="1821069930">
    <w:abstractNumId w:val="23"/>
  </w:num>
  <w:num w:numId="11" w16cid:durableId="658773228">
    <w:abstractNumId w:val="12"/>
  </w:num>
  <w:num w:numId="12" w16cid:durableId="1569146307">
    <w:abstractNumId w:val="6"/>
  </w:num>
  <w:num w:numId="13" w16cid:durableId="15933905">
    <w:abstractNumId w:val="24"/>
  </w:num>
  <w:num w:numId="14" w16cid:durableId="1044258092">
    <w:abstractNumId w:val="18"/>
  </w:num>
  <w:num w:numId="15" w16cid:durableId="1839614117">
    <w:abstractNumId w:val="11"/>
  </w:num>
  <w:num w:numId="16" w16cid:durableId="1228495467">
    <w:abstractNumId w:val="3"/>
  </w:num>
  <w:num w:numId="17" w16cid:durableId="1198472761">
    <w:abstractNumId w:val="19"/>
  </w:num>
  <w:num w:numId="18" w16cid:durableId="1758211275">
    <w:abstractNumId w:val="7"/>
  </w:num>
  <w:num w:numId="19" w16cid:durableId="586614219">
    <w:abstractNumId w:val="20"/>
  </w:num>
  <w:num w:numId="20" w16cid:durableId="1502041813">
    <w:abstractNumId w:val="22"/>
  </w:num>
  <w:num w:numId="21" w16cid:durableId="1106273560">
    <w:abstractNumId w:val="5"/>
  </w:num>
  <w:num w:numId="22" w16cid:durableId="1945771087">
    <w:abstractNumId w:val="10"/>
  </w:num>
  <w:num w:numId="23" w16cid:durableId="730008697">
    <w:abstractNumId w:val="0"/>
  </w:num>
  <w:num w:numId="24" w16cid:durableId="367922466">
    <w:abstractNumId w:val="1"/>
  </w:num>
  <w:num w:numId="25" w16cid:durableId="759835096">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2A"/>
    <w:rsid w:val="001532F2"/>
    <w:rsid w:val="0017309D"/>
    <w:rsid w:val="001A3D1C"/>
    <w:rsid w:val="00217FB3"/>
    <w:rsid w:val="00261F53"/>
    <w:rsid w:val="00265F5B"/>
    <w:rsid w:val="00410EF2"/>
    <w:rsid w:val="00434414"/>
    <w:rsid w:val="00496853"/>
    <w:rsid w:val="00502ADB"/>
    <w:rsid w:val="00516A5C"/>
    <w:rsid w:val="00531686"/>
    <w:rsid w:val="00571244"/>
    <w:rsid w:val="00576649"/>
    <w:rsid w:val="005B302A"/>
    <w:rsid w:val="005B4CA2"/>
    <w:rsid w:val="005C2984"/>
    <w:rsid w:val="0060145E"/>
    <w:rsid w:val="00632C15"/>
    <w:rsid w:val="00821D01"/>
    <w:rsid w:val="0083137A"/>
    <w:rsid w:val="0085477D"/>
    <w:rsid w:val="00854E2D"/>
    <w:rsid w:val="008B6C7C"/>
    <w:rsid w:val="009842EE"/>
    <w:rsid w:val="00994311"/>
    <w:rsid w:val="009A1033"/>
    <w:rsid w:val="00B34ADA"/>
    <w:rsid w:val="00BC1633"/>
    <w:rsid w:val="00BE781B"/>
    <w:rsid w:val="00C07DED"/>
    <w:rsid w:val="00C439CE"/>
    <w:rsid w:val="00CA551F"/>
    <w:rsid w:val="00CB3CBE"/>
    <w:rsid w:val="00CD7C75"/>
    <w:rsid w:val="00CF1CBD"/>
    <w:rsid w:val="00D06CB4"/>
    <w:rsid w:val="00D622D4"/>
    <w:rsid w:val="00D63D51"/>
    <w:rsid w:val="00E275FB"/>
    <w:rsid w:val="00E913C6"/>
    <w:rsid w:val="00EA22F2"/>
    <w:rsid w:val="00EB1787"/>
    <w:rsid w:val="00F4588B"/>
    <w:rsid w:val="00FE6665"/>
    <w:rsid w:val="00FE7DD4"/>
    <w:rsid w:val="028F2424"/>
    <w:rsid w:val="041A777A"/>
    <w:rsid w:val="064FBDF8"/>
    <w:rsid w:val="07518962"/>
    <w:rsid w:val="07FAF891"/>
    <w:rsid w:val="09C32623"/>
    <w:rsid w:val="0A0309EC"/>
    <w:rsid w:val="1493589E"/>
    <w:rsid w:val="15686489"/>
    <w:rsid w:val="15A15A36"/>
    <w:rsid w:val="189EA38A"/>
    <w:rsid w:val="1E5CDD51"/>
    <w:rsid w:val="1F8DA18A"/>
    <w:rsid w:val="25D98A97"/>
    <w:rsid w:val="25EF505C"/>
    <w:rsid w:val="26298F59"/>
    <w:rsid w:val="280CB9E6"/>
    <w:rsid w:val="28BCB4DA"/>
    <w:rsid w:val="2B177ECE"/>
    <w:rsid w:val="2B374DD6"/>
    <w:rsid w:val="2BA4C522"/>
    <w:rsid w:val="2E62D30D"/>
    <w:rsid w:val="2E83834E"/>
    <w:rsid w:val="33F8E6DD"/>
    <w:rsid w:val="3622950F"/>
    <w:rsid w:val="392F3CA9"/>
    <w:rsid w:val="397D29BE"/>
    <w:rsid w:val="435D7BF0"/>
    <w:rsid w:val="463067A7"/>
    <w:rsid w:val="47541C79"/>
    <w:rsid w:val="48EFECDA"/>
    <w:rsid w:val="490F4BE1"/>
    <w:rsid w:val="4FCF6788"/>
    <w:rsid w:val="4FE203A7"/>
    <w:rsid w:val="50B8C7DC"/>
    <w:rsid w:val="54463F67"/>
    <w:rsid w:val="5562A28F"/>
    <w:rsid w:val="59D9EABB"/>
    <w:rsid w:val="5C99C6F7"/>
    <w:rsid w:val="5EE7A2C0"/>
    <w:rsid w:val="6011C1D0"/>
    <w:rsid w:val="6090F68E"/>
    <w:rsid w:val="69A4A848"/>
    <w:rsid w:val="6E24E16D"/>
    <w:rsid w:val="76E7C66B"/>
    <w:rsid w:val="781FFB73"/>
    <w:rsid w:val="79FBB7F7"/>
    <w:rsid w:val="7B6BE50D"/>
    <w:rsid w:val="7D3358B9"/>
    <w:rsid w:val="7ECF291A"/>
    <w:rsid w:val="7EE4AA96"/>
    <w:rsid w:val="7F645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6400"/>
  <w15:chartTrackingRefBased/>
  <w15:docId w15:val="{D11417AB-42BB-40AE-9773-0E19809FFD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37A"/>
  </w:style>
  <w:style w:type="paragraph" w:styleId="Heading1">
    <w:name w:val="heading 1"/>
    <w:basedOn w:val="Normal"/>
    <w:next w:val="Normal"/>
    <w:link w:val="Heading1Char"/>
    <w:uiPriority w:val="9"/>
    <w:qFormat/>
    <w:rsid w:val="005B30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0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0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0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B30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0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30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30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30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30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sid w:val="005B30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30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30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30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302A"/>
    <w:rPr>
      <w:rFonts w:eastAsiaTheme="majorEastAsia" w:cstheme="majorBidi"/>
      <w:color w:val="272727" w:themeColor="text1" w:themeTint="D8"/>
    </w:rPr>
  </w:style>
  <w:style w:type="paragraph" w:styleId="Title">
    <w:name w:val="Title"/>
    <w:basedOn w:val="Normal"/>
    <w:next w:val="Normal"/>
    <w:link w:val="TitleChar"/>
    <w:uiPriority w:val="10"/>
    <w:qFormat/>
    <w:rsid w:val="005B30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30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30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3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02A"/>
    <w:pPr>
      <w:spacing w:before="160"/>
      <w:jc w:val="center"/>
    </w:pPr>
    <w:rPr>
      <w:i/>
      <w:iCs/>
      <w:color w:val="404040" w:themeColor="text1" w:themeTint="BF"/>
    </w:rPr>
  </w:style>
  <w:style w:type="character" w:styleId="QuoteChar" w:customStyle="1">
    <w:name w:val="Quote Char"/>
    <w:basedOn w:val="DefaultParagraphFont"/>
    <w:link w:val="Quote"/>
    <w:uiPriority w:val="29"/>
    <w:rsid w:val="005B302A"/>
    <w:rPr>
      <w:i/>
      <w:iCs/>
      <w:color w:val="404040" w:themeColor="text1" w:themeTint="BF"/>
    </w:rPr>
  </w:style>
  <w:style w:type="paragraph" w:styleId="ListParagraph">
    <w:name w:val="List Paragraph"/>
    <w:basedOn w:val="Normal"/>
    <w:uiPriority w:val="34"/>
    <w:qFormat/>
    <w:rsid w:val="005B302A"/>
    <w:pPr>
      <w:ind w:left="720"/>
      <w:contextualSpacing/>
    </w:pPr>
  </w:style>
  <w:style w:type="character" w:styleId="IntenseEmphasis">
    <w:name w:val="Intense Emphasis"/>
    <w:basedOn w:val="DefaultParagraphFont"/>
    <w:uiPriority w:val="21"/>
    <w:qFormat/>
    <w:rsid w:val="005B302A"/>
    <w:rPr>
      <w:i/>
      <w:iCs/>
      <w:color w:val="0F4761" w:themeColor="accent1" w:themeShade="BF"/>
    </w:rPr>
  </w:style>
  <w:style w:type="paragraph" w:styleId="IntenseQuote">
    <w:name w:val="Intense Quote"/>
    <w:basedOn w:val="Normal"/>
    <w:next w:val="Normal"/>
    <w:link w:val="IntenseQuoteChar"/>
    <w:uiPriority w:val="30"/>
    <w:qFormat/>
    <w:rsid w:val="005B30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302A"/>
    <w:rPr>
      <w:i/>
      <w:iCs/>
      <w:color w:val="0F4761" w:themeColor="accent1" w:themeShade="BF"/>
    </w:rPr>
  </w:style>
  <w:style w:type="character" w:styleId="IntenseReference">
    <w:name w:val="Intense Reference"/>
    <w:basedOn w:val="DefaultParagraphFont"/>
    <w:uiPriority w:val="32"/>
    <w:qFormat/>
    <w:rsid w:val="005B302A"/>
    <w:rPr>
      <w:b/>
      <w:bCs/>
      <w:smallCaps/>
      <w:color w:val="0F4761" w:themeColor="accent1" w:themeShade="BF"/>
      <w:spacing w:val="5"/>
    </w:rPr>
  </w:style>
  <w:style w:type="character" w:styleId="ui-provider" w:customStyle="1">
    <w:name w:val="ui-provider"/>
    <w:basedOn w:val="DefaultParagraphFont"/>
    <w:rsid w:val="00CB3CBE"/>
  </w:style>
  <w:style w:type="paragraph" w:styleId="Revision">
    <w:name w:val="Revision"/>
    <w:hidden/>
    <w:uiPriority w:val="99"/>
    <w:semiHidden/>
    <w:rsid w:val="00FE6665"/>
    <w:pPr>
      <w:spacing w:after="0" w:line="240" w:lineRule="auto"/>
    </w:pPr>
  </w:style>
  <w:style w:type="character" w:styleId="normaltextrun" w:customStyle="1">
    <w:name w:val="normaltextrun"/>
    <w:basedOn w:val="DefaultParagraphFont"/>
    <w:rsid w:val="00D63D51"/>
  </w:style>
  <w:style w:type="character" w:styleId="eop" w:customStyle="1">
    <w:name w:val="eop"/>
    <w:basedOn w:val="DefaultParagraphFont"/>
    <w:rsid w:val="00D63D51"/>
  </w:style>
  <w:style w:type="paragraph" w:styleId="Header">
    <w:name w:val="header"/>
    <w:basedOn w:val="Normal"/>
    <w:link w:val="HeaderChar"/>
    <w:uiPriority w:val="99"/>
    <w:unhideWhenUsed/>
    <w:rsid w:val="00EA22F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22F2"/>
  </w:style>
  <w:style w:type="paragraph" w:styleId="Footer">
    <w:name w:val="footer"/>
    <w:basedOn w:val="Normal"/>
    <w:link w:val="FooterChar"/>
    <w:uiPriority w:val="99"/>
    <w:unhideWhenUsed/>
    <w:rsid w:val="00EA22F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22F2"/>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FDB3-C296-4874-A91C-2E5CDD78FCC2}">
  <ds:schemaRefs>
    <ds:schemaRef ds:uri="http://schemas.microsoft.com/office/2006/metadata/properties"/>
    <ds:schemaRef ds:uri="http://schemas.microsoft.com/office/infopath/2007/PartnerControls"/>
    <ds:schemaRef ds:uri="692cb63f-4406-4122-a4a9-84958519cd3e"/>
    <ds:schemaRef ds:uri="e8a1031c-d3f9-4eff-9186-436adcbd05a3"/>
  </ds:schemaRefs>
</ds:datastoreItem>
</file>

<file path=customXml/itemProps2.xml><?xml version="1.0" encoding="utf-8"?>
<ds:datastoreItem xmlns:ds="http://schemas.openxmlformats.org/officeDocument/2006/customXml" ds:itemID="{4C1A4A62-089A-49B4-93B5-C735A2E45541}">
  <ds:schemaRefs>
    <ds:schemaRef ds:uri="http://schemas.microsoft.com/sharepoint/v3/contenttype/forms"/>
  </ds:schemaRefs>
</ds:datastoreItem>
</file>

<file path=customXml/itemProps3.xml><?xml version="1.0" encoding="utf-8"?>
<ds:datastoreItem xmlns:ds="http://schemas.openxmlformats.org/officeDocument/2006/customXml" ds:itemID="{700EF47E-7383-40DD-86D7-1936764D3F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Eugeniu Rotari</dc:creator>
  <keywords/>
  <dc:description/>
  <lastModifiedBy>Hala Ahmed Adnan</lastModifiedBy>
  <revision>16</revision>
  <dcterms:created xsi:type="dcterms:W3CDTF">2024-04-25T08:30:00.0000000Z</dcterms:created>
  <dcterms:modified xsi:type="dcterms:W3CDTF">2024-07-26T09:40:13.4050340Z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GrammarlyDocumentId">
    <vt:lpwstr>31e63c263f778e9df9180572fcf233194e286ee450072e034ff18c4fa4cf855e</vt:lpwstr>
  </property>
  <property fmtid="{D5CDD505-2E9C-101B-9397-08002B2CF9AE}" pid="4" name="MediaServiceImageTags">
    <vt:lpwstr/>
  </property>
</Properties>
</file>